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Times New Roman" w:hAnsi="Times New Roman" w:eastAsia="黑体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附表1 </w:t>
      </w:r>
    </w:p>
    <w:p>
      <w:pPr>
        <w:widowControl/>
        <w:spacing w:afterLines="50" w:line="480" w:lineRule="exact"/>
        <w:jc w:val="center"/>
        <w:rPr>
          <w:rFonts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第二类、第四类申报单位总量控制类入户指标计分表</w:t>
      </w:r>
    </w:p>
    <w:tbl>
      <w:tblPr>
        <w:tblStyle w:val="6"/>
        <w:tblW w:w="10078" w:type="dxa"/>
        <w:tblInd w:w="-6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84"/>
        <w:gridCol w:w="5175"/>
        <w:gridCol w:w="1116"/>
        <w:gridCol w:w="986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指标内容及分值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自评分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主管部门审核分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博士：80分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硕士：60分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本科：40分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大专、高职、高技：20分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技术能力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1.专业技术（执业）资格：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正高级：80分    副高级：60分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中  级：40分    初  级：20分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2.职业资格：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高级技师：60分   技师：40分  三级职业资格：20分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3.专业技术人员职业资格：40分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社保年限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在申报单位连续缴纳社保月数：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每月1分，累计不超过100分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个人纳税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上一年度缴纳个人所得税总额：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1000元-3000元：10分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3000元-5000元：20分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5000元-10000元：30分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10000元-30000元：40分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30000元-50000元：50分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50000元-70000元：70分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70000元以上：80分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　 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加分事项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获得创新创业人才荣誉：80分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合计（分）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1677" w:hRule="atLeast"/>
        </w:trPr>
        <w:tc>
          <w:tcPr>
            <w:tcW w:w="10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申报单位（盖章）：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150" w:firstLineChars="15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申报人：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联系方式：       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区科工商信局综合科审核意见：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val="zh-CN"/>
        </w:rPr>
        <w:t>申报材料说明：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19" w:firstLineChars="200"/>
        <w:jc w:val="left"/>
        <w:textAlignment w:val="auto"/>
        <w:rPr>
          <w:rFonts w:ascii="Times New Roman" w:hAnsi="Times New Roman" w:eastAsia="楷体_GB2312" w:cs="楷体_GB2312"/>
          <w:b w:val="0"/>
          <w:bCs w:val="0"/>
          <w:spacing w:val="-6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spacing w:val="-6"/>
          <w:kern w:val="2"/>
          <w:sz w:val="32"/>
          <w:szCs w:val="32"/>
          <w:highlight w:val="none"/>
          <w:lang w:val="zh-CN" w:eastAsia="zh-CN" w:bidi="ar-SA"/>
        </w:rPr>
        <w:t>（一）基本材料（均提交纸质版，一式一份，均需加盖公章）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xx公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司遴选工作方案（附件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2.公示情况表（附件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3.申请总量控制类入户指标承诺书（附件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3" w:firstLineChars="200"/>
        <w:jc w:val="left"/>
        <w:textAlignment w:val="auto"/>
        <w:rPr>
          <w:rFonts w:ascii="Times New Roman" w:hAnsi="Times New Roman" w:eastAsia="楷体_GB2312" w:cs="楷体_GB2312"/>
          <w:b/>
          <w:bCs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highlight w:val="none"/>
          <w:lang w:val="zh-CN" w:eastAsia="zh-CN" w:bidi="ar-SA"/>
        </w:rPr>
        <w:t>（二）专项材料（提供电子版和盖章纸质版）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1.《第二类、第四类申报单位总量控制类入户指标计分表》（附表1）；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注：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（1）计分表每个项目取最高分，不累计加分，申报人提供佐证材料。其中：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“文化程度”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请提供学历证书和学历鉴定证明；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“技术能力”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请提供相应资格证书；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“社保年限”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请提供截至202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月份的社保清单，如在子公司或分公司缴纳社保请一并提供控股或实际控制证明文件，疫情期间如有社保延缴的由单位统一出具说明文件；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“个人纳税”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请提供广东省税务局官网打印的个人上一年度纳税清单；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“加分事项”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请提供个人获得相关荣誉的证明材料；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（2）计分佐证材料统一使用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A4纸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复印，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只需提供加盖公章纸质版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（3）企业内部推荐和主管部门打分都使用该计分表；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（4）计分表请使用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A4纸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打印，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电子版和盖章纸质版，一人一份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176" w:rightChars="-5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2.《2021年海珠区引进人才总量控制类入户指标申报信息汇总表》（请使用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A3纸规格打印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，请提供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zh-CN"/>
        </w:rPr>
        <w:t>电子版和盖章纸质版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附表2）；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 申报人身份证复印件（标注“仅用于办理申请引进人才入户指标，其他用途无效”）。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M2OTJhNDkwYjRiMjBmMTVhMTVkNTM3YmIzODAifQ=="/>
  </w:docVars>
  <w:rsids>
    <w:rsidRoot w:val="61C20B0C"/>
    <w:rsid w:val="051D0797"/>
    <w:rsid w:val="203C0A9D"/>
    <w:rsid w:val="34246285"/>
    <w:rsid w:val="551044C3"/>
    <w:rsid w:val="61C20B0C"/>
    <w:rsid w:val="7D4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837</Words>
  <Characters>932</Characters>
  <Lines>0</Lines>
  <Paragraphs>0</Paragraphs>
  <TotalTime>4</TotalTime>
  <ScaleCrop>false</ScaleCrop>
  <LinksUpToDate>false</LinksUpToDate>
  <CharactersWithSpaces>1139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2022-08-04T07:16:00Z</dcterms:created>
  <dc:creator>鱼鱼鱼</dc:creator>
  <cp:lastModifiedBy>麦小麦</cp:lastModifiedBy>
  <dcterms:modified xsi:type="dcterms:W3CDTF">2023-07-28T03:49:30Z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1BBAE7B9F1754017B911ABAED82D04B0</vt:lpwstr>
  </property>
</Properties>
</file>