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479030"/>
            <wp:effectExtent l="0" t="0" r="14605" b="3810"/>
            <wp:docPr id="1" name="图片 1" descr="李雪瑜决定书第一页（共三页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雪瑜决定书第一页（共三页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35850"/>
            <wp:effectExtent l="0" t="0" r="1270" b="1270"/>
            <wp:docPr id="2" name="图片 2" descr="李雪瑜决定书第二页（共三页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李雪瑜决定书第二页（共三页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65060"/>
            <wp:effectExtent l="0" t="0" r="1905" b="2540"/>
            <wp:docPr id="3" name="图片 3" descr="李雪瑜决定书第三页（共三页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李雪瑜决定书第三页（共三页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2019-10-23T02:52:47Z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