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6447" w:rsidRDefault="00016447">
      <w:pPr>
        <w:widowControl/>
        <w:jc w:val="center"/>
        <w:textAlignment w:val="center"/>
        <w:rPr>
          <w:rFonts w:ascii="方正小标宋简体" w:eastAsia="方正小标宋简体" w:hAnsi="Times New Roman" w:cs="Times New Roman"/>
          <w:snapToGrid w:val="0"/>
          <w:color w:val="000000"/>
          <w:sz w:val="44"/>
          <w:szCs w:val="44"/>
        </w:rPr>
      </w:pPr>
      <w:r>
        <w:rPr>
          <w:rFonts w:ascii="方正小标宋简体" w:eastAsia="方正小标宋简体" w:hAnsi="Times New Roman" w:cs="方正小标宋简体" w:hint="eastAsia"/>
          <w:snapToGrid w:val="0"/>
          <w:color w:val="000000"/>
          <w:sz w:val="44"/>
          <w:szCs w:val="44"/>
        </w:rPr>
        <w:t>本次检验项目</w:t>
      </w:r>
    </w:p>
    <w:tbl>
      <w:tblPr>
        <w:tblW w:w="13858"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558"/>
        <w:gridCol w:w="897"/>
        <w:gridCol w:w="1293"/>
        <w:gridCol w:w="1047"/>
        <w:gridCol w:w="1353"/>
        <w:gridCol w:w="5307"/>
        <w:gridCol w:w="3403"/>
      </w:tblGrid>
      <w:tr w:rsidR="00016447" w:rsidRPr="00D031A8" w:rsidTr="00D269C4">
        <w:trPr>
          <w:trHeight w:val="285"/>
        </w:trPr>
        <w:tc>
          <w:tcPr>
            <w:tcW w:w="558" w:type="dxa"/>
            <w:vMerge w:val="restart"/>
            <w:vAlign w:val="center"/>
          </w:tcPr>
          <w:p w:rsidR="00016447" w:rsidRPr="00D031A8" w:rsidRDefault="00016447">
            <w:pPr>
              <w:widowControl/>
              <w:snapToGrid w:val="0"/>
              <w:spacing w:line="360" w:lineRule="exact"/>
              <w:jc w:val="center"/>
              <w:textAlignment w:val="center"/>
              <w:rPr>
                <w:rFonts w:ascii="宋体" w:cs="宋体"/>
                <w:color w:val="000000"/>
                <w:sz w:val="18"/>
                <w:szCs w:val="18"/>
              </w:rPr>
            </w:pPr>
            <w:r w:rsidRPr="00D031A8">
              <w:rPr>
                <w:rFonts w:ascii="宋体" w:hAnsi="宋体" w:cs="宋体" w:hint="eastAsia"/>
                <w:b/>
                <w:bCs/>
                <w:color w:val="000000"/>
                <w:kern w:val="0"/>
                <w:sz w:val="18"/>
                <w:szCs w:val="18"/>
              </w:rPr>
              <w:t>序号</w:t>
            </w:r>
          </w:p>
        </w:tc>
        <w:tc>
          <w:tcPr>
            <w:tcW w:w="897" w:type="dxa"/>
            <w:vMerge w:val="restart"/>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食品大类（一级）</w:t>
            </w:r>
          </w:p>
        </w:tc>
        <w:tc>
          <w:tcPr>
            <w:tcW w:w="1293"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食品亚类</w:t>
            </w:r>
          </w:p>
        </w:tc>
        <w:tc>
          <w:tcPr>
            <w:tcW w:w="1047"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食品品种</w:t>
            </w:r>
          </w:p>
        </w:tc>
        <w:tc>
          <w:tcPr>
            <w:tcW w:w="1353"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食品细类</w:t>
            </w:r>
          </w:p>
        </w:tc>
        <w:tc>
          <w:tcPr>
            <w:tcW w:w="5307" w:type="dxa"/>
            <w:vMerge w:val="restart"/>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抽检依据</w:t>
            </w:r>
          </w:p>
        </w:tc>
        <w:tc>
          <w:tcPr>
            <w:tcW w:w="3403" w:type="dxa"/>
            <w:vMerge w:val="restart"/>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检验项目</w:t>
            </w:r>
          </w:p>
        </w:tc>
      </w:tr>
      <w:tr w:rsidR="00016447" w:rsidRPr="00D031A8" w:rsidTr="00D269C4">
        <w:trPr>
          <w:trHeight w:val="90"/>
        </w:trPr>
        <w:tc>
          <w:tcPr>
            <w:tcW w:w="558" w:type="dxa"/>
            <w:vMerge/>
            <w:vAlign w:val="center"/>
          </w:tcPr>
          <w:p w:rsidR="00016447" w:rsidRPr="00D031A8" w:rsidRDefault="00016447">
            <w:pPr>
              <w:widowControl/>
              <w:snapToGrid w:val="0"/>
              <w:spacing w:line="360" w:lineRule="exact"/>
              <w:jc w:val="center"/>
              <w:rPr>
                <w:rFonts w:ascii="宋体" w:cs="宋体"/>
                <w:color w:val="000000"/>
                <w:sz w:val="18"/>
                <w:szCs w:val="18"/>
              </w:rPr>
            </w:pPr>
          </w:p>
        </w:tc>
        <w:tc>
          <w:tcPr>
            <w:tcW w:w="897" w:type="dxa"/>
            <w:vMerge/>
            <w:vAlign w:val="center"/>
          </w:tcPr>
          <w:p w:rsidR="00016447" w:rsidRPr="00D031A8" w:rsidRDefault="00016447">
            <w:pPr>
              <w:widowControl/>
              <w:snapToGrid w:val="0"/>
              <w:spacing w:line="360" w:lineRule="exact"/>
              <w:jc w:val="center"/>
              <w:rPr>
                <w:rFonts w:ascii="宋体" w:cs="宋体"/>
                <w:b/>
                <w:bCs/>
                <w:color w:val="000000"/>
                <w:sz w:val="18"/>
                <w:szCs w:val="18"/>
              </w:rPr>
            </w:pPr>
          </w:p>
        </w:tc>
        <w:tc>
          <w:tcPr>
            <w:tcW w:w="1293"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（二级）</w:t>
            </w:r>
          </w:p>
        </w:tc>
        <w:tc>
          <w:tcPr>
            <w:tcW w:w="1047"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（三级）</w:t>
            </w:r>
          </w:p>
        </w:tc>
        <w:tc>
          <w:tcPr>
            <w:tcW w:w="1353" w:type="dxa"/>
            <w:vAlign w:val="center"/>
          </w:tcPr>
          <w:p w:rsidR="00016447" w:rsidRPr="00D031A8" w:rsidRDefault="00016447">
            <w:pPr>
              <w:widowControl/>
              <w:snapToGrid w:val="0"/>
              <w:spacing w:line="360" w:lineRule="exact"/>
              <w:jc w:val="center"/>
              <w:textAlignment w:val="center"/>
              <w:rPr>
                <w:rFonts w:ascii="宋体" w:cs="宋体"/>
                <w:b/>
                <w:bCs/>
                <w:color w:val="000000"/>
                <w:sz w:val="18"/>
                <w:szCs w:val="18"/>
              </w:rPr>
            </w:pPr>
            <w:r w:rsidRPr="00D031A8">
              <w:rPr>
                <w:rFonts w:ascii="宋体" w:hAnsi="宋体" w:cs="宋体" w:hint="eastAsia"/>
                <w:b/>
                <w:bCs/>
                <w:color w:val="000000"/>
                <w:kern w:val="0"/>
                <w:sz w:val="18"/>
                <w:szCs w:val="18"/>
              </w:rPr>
              <w:t>（四级）</w:t>
            </w:r>
          </w:p>
        </w:tc>
        <w:tc>
          <w:tcPr>
            <w:tcW w:w="5307" w:type="dxa"/>
            <w:vMerge/>
            <w:vAlign w:val="center"/>
          </w:tcPr>
          <w:p w:rsidR="00016447" w:rsidRPr="00D031A8" w:rsidRDefault="00016447">
            <w:pPr>
              <w:widowControl/>
              <w:snapToGrid w:val="0"/>
              <w:spacing w:line="360" w:lineRule="exact"/>
              <w:jc w:val="center"/>
              <w:rPr>
                <w:rFonts w:ascii="宋体" w:cs="宋体"/>
                <w:b/>
                <w:bCs/>
                <w:color w:val="000000"/>
                <w:sz w:val="18"/>
                <w:szCs w:val="18"/>
              </w:rPr>
            </w:pPr>
          </w:p>
        </w:tc>
        <w:tc>
          <w:tcPr>
            <w:tcW w:w="3403" w:type="dxa"/>
            <w:vMerge/>
            <w:vAlign w:val="center"/>
          </w:tcPr>
          <w:p w:rsidR="00016447" w:rsidRPr="00D031A8" w:rsidRDefault="00016447">
            <w:pPr>
              <w:widowControl/>
              <w:snapToGrid w:val="0"/>
              <w:spacing w:line="360" w:lineRule="exact"/>
              <w:jc w:val="center"/>
              <w:rPr>
                <w:rFonts w:ascii="宋体" w:cs="宋体"/>
                <w:b/>
                <w:bCs/>
                <w:color w:val="000000"/>
                <w:sz w:val="18"/>
                <w:szCs w:val="18"/>
              </w:rPr>
            </w:pPr>
          </w:p>
        </w:tc>
      </w:tr>
      <w:tr w:rsidR="00016447" w:rsidRPr="00D031A8" w:rsidTr="00D269C4">
        <w:trPr>
          <w:trHeight w:val="1286"/>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bookmarkStart w:id="0" w:name="_GoBack"/>
            <w:bookmarkEnd w:id="0"/>
            <w:r w:rsidRPr="00D031A8">
              <w:rPr>
                <w:rFonts w:ascii="宋体" w:hAnsi="宋体" w:cs="宋体"/>
                <w:color w:val="000000"/>
                <w:sz w:val="18"/>
                <w:szCs w:val="18"/>
              </w:rPr>
              <w:t>1</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方便食品</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方便食品</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调味面制品</w:t>
            </w:r>
          </w:p>
        </w:tc>
        <w:tc>
          <w:tcPr>
            <w:tcW w:w="1353" w:type="dxa"/>
            <w:vAlign w:val="center"/>
          </w:tcPr>
          <w:p w:rsidR="00016447" w:rsidRPr="00D031A8" w:rsidRDefault="00016447" w:rsidP="000D6C1B">
            <w:pPr>
              <w:widowControl/>
              <w:jc w:val="center"/>
              <w:textAlignment w:val="center"/>
              <w:rPr>
                <w:rFonts w:ascii="宋体" w:hAnsi="宋体" w:cs="宋体"/>
                <w:color w:val="000000"/>
                <w:kern w:val="0"/>
                <w:sz w:val="18"/>
                <w:szCs w:val="18"/>
              </w:rPr>
            </w:pPr>
            <w:r w:rsidRPr="00D031A8">
              <w:rPr>
                <w:rFonts w:ascii="宋体" w:hAnsi="宋体" w:cs="宋体" w:hint="eastAsia"/>
                <w:color w:val="000000"/>
                <w:kern w:val="0"/>
                <w:sz w:val="18"/>
                <w:szCs w:val="18"/>
              </w:rPr>
              <w:t>调味面制品</w:t>
            </w:r>
            <w:r w:rsidRPr="00D031A8">
              <w:rPr>
                <w:rFonts w:ascii="宋体" w:hAnsi="宋体" w:cs="宋体"/>
                <w:color w:val="000000"/>
                <w:kern w:val="0"/>
                <w:sz w:val="18"/>
                <w:szCs w:val="18"/>
              </w:rPr>
              <w:t xml:space="preserve">   </w:t>
            </w:r>
          </w:p>
        </w:tc>
        <w:tc>
          <w:tcPr>
            <w:tcW w:w="5307" w:type="dxa"/>
            <w:vAlign w:val="center"/>
          </w:tcPr>
          <w:p w:rsidR="00016447" w:rsidRPr="00D031A8" w:rsidRDefault="00016447" w:rsidP="000D6C1B">
            <w:pPr>
              <w:widowControl/>
              <w:jc w:val="center"/>
              <w:textAlignment w:val="center"/>
              <w:rPr>
                <w:rFonts w:ascii="宋体" w:hAnsi="宋体" w:cs="宋体"/>
                <w:color w:val="000000"/>
                <w:kern w:val="0"/>
                <w:sz w:val="18"/>
                <w:szCs w:val="18"/>
              </w:rPr>
            </w:pPr>
            <w:r w:rsidRPr="00D031A8">
              <w:rPr>
                <w:rFonts w:ascii="宋体" w:hAnsi="宋体" w:cs="宋体"/>
                <w:color w:val="000000"/>
                <w:kern w:val="0"/>
                <w:sz w:val="18"/>
                <w:szCs w:val="18"/>
              </w:rPr>
              <w:t>Q/LHPP 0004S</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2018</w:t>
            </w:r>
            <w:r w:rsidRPr="00D031A8">
              <w:rPr>
                <w:rFonts w:ascii="宋体" w:hAnsi="宋体" w:cs="宋体" w:hint="eastAsia"/>
                <w:color w:val="000000"/>
                <w:kern w:val="0"/>
                <w:sz w:val="18"/>
                <w:szCs w:val="18"/>
              </w:rPr>
              <w:t>《调味面制品》</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、《食品中可能违法添加的非食用物质和易滥用的食品添加剂名单</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第</w:t>
            </w:r>
            <w:r w:rsidRPr="00D031A8">
              <w:rPr>
                <w:rFonts w:ascii="宋体" w:hAnsi="宋体" w:cs="宋体"/>
                <w:color w:val="000000"/>
                <w:kern w:val="0"/>
                <w:sz w:val="18"/>
                <w:szCs w:val="18"/>
              </w:rPr>
              <w:t>1-5</w:t>
            </w:r>
            <w:r w:rsidRPr="00D031A8">
              <w:rPr>
                <w:rFonts w:ascii="宋体" w:hAnsi="宋体" w:cs="宋体" w:hint="eastAsia"/>
                <w:color w:val="000000"/>
                <w:kern w:val="0"/>
                <w:sz w:val="18"/>
                <w:szCs w:val="18"/>
              </w:rPr>
              <w:t>批汇总</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全国打击违法添加非食用物质和滥用食品添加剂专项整治领导小组于二〇一一年四月十九日汇总发布</w:t>
            </w:r>
            <w:r w:rsidRPr="00D031A8">
              <w:rPr>
                <w:rFonts w:ascii="宋体" w:hAnsi="宋体" w:cs="宋体"/>
                <w:color w:val="000000"/>
                <w:kern w:val="0"/>
                <w:sz w:val="18"/>
                <w:szCs w:val="18"/>
              </w:rPr>
              <w:t>)</w:t>
            </w:r>
          </w:p>
        </w:tc>
        <w:tc>
          <w:tcPr>
            <w:tcW w:w="3403" w:type="dxa"/>
            <w:vAlign w:val="center"/>
          </w:tcPr>
          <w:p w:rsidR="00016447" w:rsidRPr="00D031A8" w:rsidRDefault="00016447" w:rsidP="001B2177">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过氧化值</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、山梨酸、苯甲酸、糖精钠</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以糖精计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、脱氢乙酸、富马酸二甲酯、菌落总数</w:t>
            </w:r>
          </w:p>
        </w:tc>
      </w:tr>
      <w:tr w:rsidR="00016447" w:rsidRPr="00D031A8" w:rsidTr="00D269C4">
        <w:trPr>
          <w:trHeight w:val="691"/>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2</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糖果制品</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糖果制品</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（含巧克力及制品）</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糖果</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糖果</w:t>
            </w:r>
          </w:p>
        </w:tc>
        <w:tc>
          <w:tcPr>
            <w:tcW w:w="530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p>
        </w:tc>
        <w:tc>
          <w:tcPr>
            <w:tcW w:w="3403" w:type="dxa"/>
            <w:vAlign w:val="center"/>
          </w:tcPr>
          <w:p w:rsidR="00016447" w:rsidRPr="00D031A8" w:rsidRDefault="00016447" w:rsidP="001B2177">
            <w:pPr>
              <w:widowControl/>
              <w:jc w:val="left"/>
              <w:textAlignment w:val="center"/>
              <w:rPr>
                <w:rFonts w:ascii="宋体" w:hAnsi="宋体" w:cs="宋体"/>
                <w:color w:val="000000"/>
                <w:kern w:val="0"/>
                <w:sz w:val="18"/>
                <w:szCs w:val="18"/>
              </w:rPr>
            </w:pPr>
            <w:r w:rsidRPr="00D031A8">
              <w:rPr>
                <w:rFonts w:ascii="宋体" w:hAnsi="宋体" w:cs="宋体" w:hint="eastAsia"/>
                <w:color w:val="000000"/>
                <w:kern w:val="0"/>
                <w:sz w:val="18"/>
                <w:szCs w:val="18"/>
              </w:rPr>
              <w:t>柠檬黄、日落黄、苋菜红、胭脂红、糖精钠</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以糖精计</w:t>
            </w:r>
            <w:r w:rsidRPr="00D031A8">
              <w:rPr>
                <w:rFonts w:ascii="宋体" w:hAnsi="宋体" w:cs="宋体"/>
                <w:color w:val="000000"/>
                <w:kern w:val="0"/>
                <w:sz w:val="18"/>
                <w:szCs w:val="18"/>
              </w:rPr>
              <w:t>)</w:t>
            </w:r>
          </w:p>
        </w:tc>
      </w:tr>
      <w:tr w:rsidR="00016447" w:rsidRPr="00D031A8" w:rsidTr="00D269C4">
        <w:trPr>
          <w:trHeight w:val="729"/>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3</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饼干</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饼干</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饼干</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饼干</w:t>
            </w:r>
          </w:p>
        </w:tc>
        <w:tc>
          <w:tcPr>
            <w:tcW w:w="530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color w:val="000000"/>
                <w:kern w:val="0"/>
                <w:sz w:val="18"/>
                <w:szCs w:val="18"/>
              </w:rPr>
              <w:t>GB 7100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2015</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饼干》</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p>
        </w:tc>
        <w:tc>
          <w:tcPr>
            <w:tcW w:w="3403" w:type="dxa"/>
            <w:vAlign w:val="center"/>
          </w:tcPr>
          <w:p w:rsidR="00016447" w:rsidRPr="00D031A8" w:rsidRDefault="00016447" w:rsidP="001B2177">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酸价</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)(KOH)</w:t>
            </w:r>
            <w:r w:rsidRPr="00D031A8">
              <w:rPr>
                <w:rFonts w:ascii="宋体" w:hAnsi="宋体" w:cs="宋体" w:hint="eastAsia"/>
                <w:color w:val="000000"/>
                <w:kern w:val="0"/>
                <w:sz w:val="18"/>
                <w:szCs w:val="18"/>
              </w:rPr>
              <w:t>、过氧化值</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、二氧化硫残留量、山梨酸、苯甲酸</w:t>
            </w:r>
          </w:p>
        </w:tc>
      </w:tr>
      <w:tr w:rsidR="00016447" w:rsidRPr="00D031A8" w:rsidTr="00D269C4">
        <w:trPr>
          <w:trHeight w:val="1042"/>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4</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薯类和膨化食品</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薯类和</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膨化食品</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膨化食品</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含油型膨化食品和非含油型膨化食品</w:t>
            </w:r>
          </w:p>
        </w:tc>
        <w:tc>
          <w:tcPr>
            <w:tcW w:w="530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color w:val="000000"/>
                <w:kern w:val="0"/>
                <w:sz w:val="18"/>
                <w:szCs w:val="18"/>
              </w:rPr>
              <w:t>GB 17401</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膨化食品》</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p>
        </w:tc>
        <w:tc>
          <w:tcPr>
            <w:tcW w:w="3403" w:type="dxa"/>
            <w:vAlign w:val="center"/>
          </w:tcPr>
          <w:p w:rsidR="00016447" w:rsidRPr="00D031A8" w:rsidRDefault="00016447" w:rsidP="001B2177">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酸价</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)(KOH)</w:t>
            </w:r>
            <w:r w:rsidRPr="00D031A8">
              <w:rPr>
                <w:rFonts w:ascii="宋体" w:hAnsi="宋体" w:cs="宋体" w:hint="eastAsia"/>
                <w:color w:val="000000"/>
                <w:kern w:val="0"/>
                <w:sz w:val="18"/>
                <w:szCs w:val="18"/>
              </w:rPr>
              <w:t>、过氧化值</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、山梨酸、苯甲酸</w:t>
            </w:r>
          </w:p>
        </w:tc>
      </w:tr>
      <w:tr w:rsidR="00016447" w:rsidRPr="00D031A8" w:rsidTr="00D269C4">
        <w:trPr>
          <w:trHeight w:val="1056"/>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5</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水果制品</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水果制品</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蜜饯</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蜜饯类、凉果类、果脯类、话化类、果糕类</w:t>
            </w:r>
          </w:p>
        </w:tc>
        <w:tc>
          <w:tcPr>
            <w:tcW w:w="530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p>
        </w:tc>
        <w:tc>
          <w:tcPr>
            <w:tcW w:w="3403" w:type="dxa"/>
            <w:vAlign w:val="center"/>
          </w:tcPr>
          <w:p w:rsidR="00016447" w:rsidRPr="00D031A8" w:rsidRDefault="00016447" w:rsidP="001B2177">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二氧化硫残留量、山梨酸、苯甲酸、脱氢乙酸、甜蜜素</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以环已基氨基磺酸计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、糖精钠</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以糖精计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、乙二胺四乙酸二钠</w:t>
            </w:r>
          </w:p>
        </w:tc>
      </w:tr>
      <w:tr w:rsidR="00016447" w:rsidRPr="00D031A8" w:rsidTr="00D269C4">
        <w:trPr>
          <w:trHeight w:val="1286"/>
        </w:trPr>
        <w:tc>
          <w:tcPr>
            <w:tcW w:w="558" w:type="dxa"/>
            <w:vAlign w:val="center"/>
          </w:tcPr>
          <w:p w:rsidR="00016447" w:rsidRPr="00D031A8" w:rsidRDefault="00016447" w:rsidP="001B2177">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6</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糕点</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糕点</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糕点</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散装糕点</w:t>
            </w:r>
          </w:p>
        </w:tc>
        <w:tc>
          <w:tcPr>
            <w:tcW w:w="5307" w:type="dxa"/>
            <w:vAlign w:val="center"/>
          </w:tcPr>
          <w:p w:rsidR="00016447" w:rsidRPr="00D031A8" w:rsidRDefault="00016447" w:rsidP="000D6C1B">
            <w:pPr>
              <w:widowControl/>
              <w:jc w:val="center"/>
              <w:textAlignment w:val="center"/>
              <w:rPr>
                <w:rFonts w:ascii="宋体" w:hAnsi="宋体" w:cs="宋体"/>
                <w:color w:val="000000"/>
                <w:kern w:val="0"/>
                <w:sz w:val="18"/>
                <w:szCs w:val="18"/>
              </w:rPr>
            </w:pPr>
            <w:r w:rsidRPr="00D031A8">
              <w:rPr>
                <w:rFonts w:ascii="宋体" w:hAnsi="宋体" w:cs="宋体"/>
                <w:color w:val="000000"/>
                <w:kern w:val="0"/>
                <w:sz w:val="18"/>
                <w:szCs w:val="18"/>
              </w:rPr>
              <w:t>GB 7099</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2015</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糕点、面包》</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GB 2760</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2014</w:t>
            </w:r>
            <w:r w:rsidRPr="00D031A8">
              <w:rPr>
                <w:rFonts w:ascii="宋体" w:hAnsi="宋体" w:cs="宋体" w:hint="eastAsia"/>
                <w:color w:val="000000"/>
                <w:kern w:val="0"/>
                <w:sz w:val="18"/>
                <w:szCs w:val="18"/>
              </w:rPr>
              <w:t>《食品安全国家标准</w:t>
            </w:r>
            <w:r w:rsidRPr="00D031A8">
              <w:rPr>
                <w:rFonts w:ascii="宋体" w:hAnsi="宋体" w:cs="宋体"/>
                <w:color w:val="000000"/>
                <w:kern w:val="0"/>
                <w:sz w:val="18"/>
                <w:szCs w:val="18"/>
              </w:rPr>
              <w:t xml:space="preserve"> </w:t>
            </w:r>
            <w:r w:rsidRPr="00D031A8">
              <w:rPr>
                <w:rFonts w:ascii="宋体" w:hAnsi="宋体" w:cs="宋体" w:hint="eastAsia"/>
                <w:color w:val="000000"/>
                <w:kern w:val="0"/>
                <w:sz w:val="18"/>
                <w:szCs w:val="18"/>
              </w:rPr>
              <w:t>食品添加剂使用标准》</w:t>
            </w:r>
            <w:r w:rsidRPr="00D031A8">
              <w:rPr>
                <w:rFonts w:ascii="宋体" w:hAnsi="宋体" w:cs="宋体"/>
                <w:color w:val="000000"/>
                <w:kern w:val="0"/>
                <w:sz w:val="18"/>
                <w:szCs w:val="18"/>
              </w:rPr>
              <w:t xml:space="preserve"> </w:t>
            </w:r>
            <w:r w:rsidRPr="00D031A8">
              <w:rPr>
                <w:rFonts w:ascii="宋体" w:hAnsi="宋体" w:cs="宋体"/>
                <w:color w:val="000000"/>
                <w:kern w:val="0"/>
                <w:sz w:val="18"/>
                <w:szCs w:val="18"/>
              </w:rPr>
              <w:br/>
            </w:r>
            <w:r w:rsidRPr="00D031A8">
              <w:rPr>
                <w:rFonts w:ascii="宋体" w:hAnsi="宋体" w:cs="宋体" w:hint="eastAsia"/>
                <w:color w:val="000000"/>
                <w:kern w:val="0"/>
                <w:sz w:val="18"/>
                <w:szCs w:val="18"/>
              </w:rPr>
              <w:t>、《食品中可能违法添加的非食用物质和易滥用的食品添加剂名单</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第</w:t>
            </w:r>
            <w:r w:rsidRPr="00D031A8">
              <w:rPr>
                <w:rFonts w:ascii="宋体" w:hAnsi="宋体" w:cs="宋体"/>
                <w:color w:val="000000"/>
                <w:kern w:val="0"/>
                <w:sz w:val="18"/>
                <w:szCs w:val="18"/>
              </w:rPr>
              <w:t>1-5</w:t>
            </w:r>
            <w:r w:rsidRPr="00D031A8">
              <w:rPr>
                <w:rFonts w:ascii="宋体" w:hAnsi="宋体" w:cs="宋体" w:hint="eastAsia"/>
                <w:color w:val="000000"/>
                <w:kern w:val="0"/>
                <w:sz w:val="18"/>
                <w:szCs w:val="18"/>
              </w:rPr>
              <w:t>批汇总</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全国打击违法添加非食用物质和滥用食品添加剂专项整治领导小组于二〇一一年四月十九日汇总发布</w:t>
            </w:r>
            <w:r w:rsidRPr="00D031A8">
              <w:rPr>
                <w:rFonts w:ascii="宋体" w:hAnsi="宋体" w:cs="宋体"/>
                <w:color w:val="000000"/>
                <w:kern w:val="0"/>
                <w:sz w:val="18"/>
                <w:szCs w:val="18"/>
              </w:rPr>
              <w:t>)</w:t>
            </w:r>
          </w:p>
        </w:tc>
        <w:tc>
          <w:tcPr>
            <w:tcW w:w="3403" w:type="dxa"/>
            <w:vAlign w:val="center"/>
          </w:tcPr>
          <w:p w:rsidR="00016447" w:rsidRPr="00D031A8" w:rsidRDefault="00016447" w:rsidP="001B2177">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酸价</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)(KOH)</w:t>
            </w:r>
            <w:r w:rsidRPr="00D031A8">
              <w:rPr>
                <w:rFonts w:ascii="宋体" w:hAnsi="宋体" w:cs="宋体" w:hint="eastAsia"/>
                <w:color w:val="000000"/>
                <w:kern w:val="0"/>
                <w:sz w:val="18"/>
                <w:szCs w:val="18"/>
              </w:rPr>
              <w:t>、过氧化值</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以脂肪计</w:t>
            </w:r>
            <w:r w:rsidRPr="00D031A8">
              <w:rPr>
                <w:rFonts w:ascii="宋体" w:hAnsi="宋体" w:cs="宋体"/>
                <w:color w:val="000000"/>
                <w:kern w:val="0"/>
                <w:sz w:val="18"/>
                <w:szCs w:val="18"/>
              </w:rPr>
              <w:t>)</w:t>
            </w:r>
            <w:r w:rsidRPr="00D031A8">
              <w:rPr>
                <w:rFonts w:ascii="宋体" w:hAnsi="宋体" w:cs="宋体" w:hint="eastAsia"/>
                <w:color w:val="000000"/>
                <w:kern w:val="0"/>
                <w:sz w:val="18"/>
                <w:szCs w:val="18"/>
              </w:rPr>
              <w:t>、纳他霉素残留量、富马酸二甲酯、山梨酸、苯甲酸、脱氢乙酸、菌落总数、大肠菌群</w:t>
            </w:r>
          </w:p>
        </w:tc>
      </w:tr>
      <w:tr w:rsidR="00016447" w:rsidRPr="00D031A8" w:rsidTr="00D269C4">
        <w:trPr>
          <w:trHeight w:val="592"/>
        </w:trPr>
        <w:tc>
          <w:tcPr>
            <w:tcW w:w="558" w:type="dxa"/>
            <w:vAlign w:val="center"/>
          </w:tcPr>
          <w:p w:rsidR="00016447" w:rsidRPr="00D031A8" w:rsidRDefault="00016447" w:rsidP="000D6C1B">
            <w:pPr>
              <w:widowControl/>
              <w:snapToGrid w:val="0"/>
              <w:spacing w:line="360" w:lineRule="exact"/>
              <w:jc w:val="center"/>
              <w:rPr>
                <w:rFonts w:ascii="宋体" w:hAnsi="宋体" w:cs="宋体"/>
                <w:color w:val="000000"/>
                <w:sz w:val="18"/>
                <w:szCs w:val="18"/>
              </w:rPr>
            </w:pPr>
            <w:r w:rsidRPr="00D031A8">
              <w:rPr>
                <w:rFonts w:ascii="宋体" w:hAnsi="宋体" w:cs="宋体"/>
                <w:color w:val="000000"/>
                <w:sz w:val="18"/>
                <w:szCs w:val="18"/>
              </w:rPr>
              <w:t>7</w:t>
            </w:r>
          </w:p>
        </w:tc>
        <w:tc>
          <w:tcPr>
            <w:tcW w:w="89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餐饮食品</w:t>
            </w:r>
          </w:p>
        </w:tc>
        <w:tc>
          <w:tcPr>
            <w:tcW w:w="129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食品接触材料</w:t>
            </w:r>
          </w:p>
        </w:tc>
        <w:tc>
          <w:tcPr>
            <w:tcW w:w="104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餐饮具</w:t>
            </w:r>
          </w:p>
        </w:tc>
        <w:tc>
          <w:tcPr>
            <w:tcW w:w="1353"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hint="eastAsia"/>
                <w:color w:val="000000"/>
                <w:kern w:val="0"/>
                <w:sz w:val="18"/>
                <w:szCs w:val="18"/>
              </w:rPr>
              <w:t>餐饮具</w:t>
            </w:r>
          </w:p>
        </w:tc>
        <w:tc>
          <w:tcPr>
            <w:tcW w:w="5307" w:type="dxa"/>
            <w:vAlign w:val="center"/>
          </w:tcPr>
          <w:p w:rsidR="00016447" w:rsidRPr="00D031A8" w:rsidRDefault="00016447" w:rsidP="000D6C1B">
            <w:pPr>
              <w:widowControl/>
              <w:jc w:val="center"/>
              <w:textAlignment w:val="center"/>
              <w:rPr>
                <w:rFonts w:ascii="宋体" w:cs="宋体"/>
                <w:color w:val="000000"/>
                <w:kern w:val="0"/>
                <w:sz w:val="18"/>
                <w:szCs w:val="18"/>
              </w:rPr>
            </w:pPr>
            <w:r w:rsidRPr="00D031A8">
              <w:rPr>
                <w:rFonts w:ascii="宋体" w:hAnsi="宋体" w:cs="宋体"/>
                <w:color w:val="000000"/>
                <w:kern w:val="0"/>
                <w:sz w:val="18"/>
                <w:szCs w:val="18"/>
              </w:rPr>
              <w:t xml:space="preserve">GB 14934-2016 </w:t>
            </w:r>
            <w:r w:rsidRPr="00D031A8">
              <w:rPr>
                <w:rFonts w:ascii="宋体" w:hAnsi="宋体" w:cs="宋体" w:hint="eastAsia"/>
                <w:color w:val="000000"/>
                <w:kern w:val="0"/>
                <w:sz w:val="18"/>
                <w:szCs w:val="18"/>
              </w:rPr>
              <w:t>中华人民共和国国家标准食（饮）具消毒卫生标准</w:t>
            </w:r>
          </w:p>
        </w:tc>
        <w:tc>
          <w:tcPr>
            <w:tcW w:w="3403" w:type="dxa"/>
            <w:vAlign w:val="center"/>
          </w:tcPr>
          <w:p w:rsidR="00016447" w:rsidRPr="00D031A8" w:rsidRDefault="00016447" w:rsidP="000D6C1B">
            <w:pPr>
              <w:widowControl/>
              <w:jc w:val="left"/>
              <w:textAlignment w:val="center"/>
              <w:rPr>
                <w:rFonts w:ascii="宋体" w:cs="宋体"/>
                <w:color w:val="000000"/>
                <w:kern w:val="0"/>
                <w:sz w:val="18"/>
                <w:szCs w:val="18"/>
              </w:rPr>
            </w:pPr>
            <w:r w:rsidRPr="00D031A8">
              <w:rPr>
                <w:rFonts w:ascii="宋体" w:hAnsi="宋体" w:cs="宋体" w:hint="eastAsia"/>
                <w:color w:val="000000"/>
                <w:kern w:val="0"/>
                <w:sz w:val="18"/>
                <w:szCs w:val="18"/>
              </w:rPr>
              <w:t>大肠菌群（</w:t>
            </w:r>
            <w:r w:rsidRPr="00D031A8">
              <w:rPr>
                <w:rFonts w:ascii="宋体" w:hAnsi="宋体" w:cs="宋体"/>
                <w:color w:val="000000"/>
                <w:kern w:val="0"/>
                <w:sz w:val="18"/>
                <w:szCs w:val="18"/>
              </w:rPr>
              <w:t>50cm2</w:t>
            </w:r>
            <w:r w:rsidRPr="00D031A8">
              <w:rPr>
                <w:rFonts w:ascii="宋体" w:hAnsi="宋体" w:cs="宋体" w:hint="eastAsia"/>
                <w:color w:val="000000"/>
                <w:kern w:val="0"/>
                <w:sz w:val="18"/>
                <w:szCs w:val="18"/>
              </w:rPr>
              <w:t>）</w:t>
            </w:r>
          </w:p>
        </w:tc>
      </w:tr>
    </w:tbl>
    <w:p w:rsidR="00016447" w:rsidRPr="001B2177" w:rsidRDefault="00016447" w:rsidP="00747A9C">
      <w:pPr>
        <w:spacing w:line="600" w:lineRule="exact"/>
        <w:textAlignment w:val="baseline"/>
        <w:rPr>
          <w:rFonts w:ascii="宋体" w:cs="Times New Roman"/>
          <w:color w:val="000000"/>
          <w:kern w:val="0"/>
          <w:sz w:val="18"/>
          <w:szCs w:val="18"/>
        </w:rPr>
      </w:pPr>
    </w:p>
    <w:sectPr w:rsidR="00016447" w:rsidRPr="001B2177" w:rsidSect="00747A9C">
      <w:pgSz w:w="16838" w:h="11906" w:orient="landscape"/>
      <w:pgMar w:top="1090" w:right="1531" w:bottom="93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47" w:rsidRDefault="00016447" w:rsidP="003C4B26">
      <w:pPr>
        <w:rPr>
          <w:rFonts w:cs="Times New Roman"/>
        </w:rPr>
      </w:pPr>
      <w:r>
        <w:rPr>
          <w:rFonts w:cs="Times New Roman"/>
        </w:rPr>
        <w:separator/>
      </w:r>
    </w:p>
  </w:endnote>
  <w:endnote w:type="continuationSeparator" w:id="0">
    <w:p w:rsidR="00016447" w:rsidRDefault="00016447" w:rsidP="003C4B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47" w:rsidRDefault="00016447" w:rsidP="003C4B26">
      <w:pPr>
        <w:rPr>
          <w:rFonts w:cs="Times New Roman"/>
        </w:rPr>
      </w:pPr>
      <w:r>
        <w:rPr>
          <w:rFonts w:cs="Times New Roman"/>
        </w:rPr>
        <w:separator/>
      </w:r>
    </w:p>
  </w:footnote>
  <w:footnote w:type="continuationSeparator" w:id="0">
    <w:p w:rsidR="00016447" w:rsidRDefault="00016447" w:rsidP="003C4B2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F03"/>
    <w:rsid w:val="00016447"/>
    <w:rsid w:val="00020472"/>
    <w:rsid w:val="00021A44"/>
    <w:rsid w:val="000334EB"/>
    <w:rsid w:val="00057C9D"/>
    <w:rsid w:val="000644E2"/>
    <w:rsid w:val="00075FA6"/>
    <w:rsid w:val="000800AE"/>
    <w:rsid w:val="00097E5A"/>
    <w:rsid w:val="000A077E"/>
    <w:rsid w:val="000A1CA7"/>
    <w:rsid w:val="000A1D22"/>
    <w:rsid w:val="000B050A"/>
    <w:rsid w:val="000B6096"/>
    <w:rsid w:val="000B6C93"/>
    <w:rsid w:val="000C18BE"/>
    <w:rsid w:val="000D287B"/>
    <w:rsid w:val="000D6C1B"/>
    <w:rsid w:val="0010014F"/>
    <w:rsid w:val="00102897"/>
    <w:rsid w:val="00113712"/>
    <w:rsid w:val="00156C2C"/>
    <w:rsid w:val="001570A9"/>
    <w:rsid w:val="00170E37"/>
    <w:rsid w:val="00177A5D"/>
    <w:rsid w:val="00184B83"/>
    <w:rsid w:val="001A6B3F"/>
    <w:rsid w:val="001B2177"/>
    <w:rsid w:val="001B57E1"/>
    <w:rsid w:val="001B7BFF"/>
    <w:rsid w:val="001C5998"/>
    <w:rsid w:val="001F4806"/>
    <w:rsid w:val="00213A57"/>
    <w:rsid w:val="00220C3B"/>
    <w:rsid w:val="00272DBE"/>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C4B26"/>
    <w:rsid w:val="003D0B14"/>
    <w:rsid w:val="003E6F6F"/>
    <w:rsid w:val="003F6312"/>
    <w:rsid w:val="003F6FCD"/>
    <w:rsid w:val="00412435"/>
    <w:rsid w:val="00417336"/>
    <w:rsid w:val="00417B40"/>
    <w:rsid w:val="00431EC2"/>
    <w:rsid w:val="004471F2"/>
    <w:rsid w:val="004522D0"/>
    <w:rsid w:val="004523DE"/>
    <w:rsid w:val="00457D30"/>
    <w:rsid w:val="0047273E"/>
    <w:rsid w:val="00483E26"/>
    <w:rsid w:val="004A2F45"/>
    <w:rsid w:val="004C40C8"/>
    <w:rsid w:val="004D5FF8"/>
    <w:rsid w:val="004D6D8C"/>
    <w:rsid w:val="004F221F"/>
    <w:rsid w:val="004F3122"/>
    <w:rsid w:val="00506EEA"/>
    <w:rsid w:val="0051721E"/>
    <w:rsid w:val="0054294C"/>
    <w:rsid w:val="005643F4"/>
    <w:rsid w:val="005771A5"/>
    <w:rsid w:val="00584C1F"/>
    <w:rsid w:val="00596CE3"/>
    <w:rsid w:val="005A47F0"/>
    <w:rsid w:val="005B0C1C"/>
    <w:rsid w:val="005B469F"/>
    <w:rsid w:val="005D69DE"/>
    <w:rsid w:val="005D7D45"/>
    <w:rsid w:val="005E2E5E"/>
    <w:rsid w:val="005F6AB2"/>
    <w:rsid w:val="00621DA4"/>
    <w:rsid w:val="00656EA2"/>
    <w:rsid w:val="00687316"/>
    <w:rsid w:val="0069030F"/>
    <w:rsid w:val="0069349E"/>
    <w:rsid w:val="006A4A55"/>
    <w:rsid w:val="006A6837"/>
    <w:rsid w:val="006B139A"/>
    <w:rsid w:val="006C31E0"/>
    <w:rsid w:val="006F32DE"/>
    <w:rsid w:val="00721330"/>
    <w:rsid w:val="00745A18"/>
    <w:rsid w:val="00747A9C"/>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D09"/>
    <w:rsid w:val="008550AE"/>
    <w:rsid w:val="008572D6"/>
    <w:rsid w:val="0086226C"/>
    <w:rsid w:val="008743A6"/>
    <w:rsid w:val="0087748F"/>
    <w:rsid w:val="00880F04"/>
    <w:rsid w:val="00895177"/>
    <w:rsid w:val="008C24F5"/>
    <w:rsid w:val="008C7974"/>
    <w:rsid w:val="008D7ECA"/>
    <w:rsid w:val="008E1C89"/>
    <w:rsid w:val="00910447"/>
    <w:rsid w:val="009125A7"/>
    <w:rsid w:val="00925608"/>
    <w:rsid w:val="0092760E"/>
    <w:rsid w:val="00931FA9"/>
    <w:rsid w:val="00933A31"/>
    <w:rsid w:val="0094303D"/>
    <w:rsid w:val="00961E31"/>
    <w:rsid w:val="0096604C"/>
    <w:rsid w:val="009669E4"/>
    <w:rsid w:val="00966ED2"/>
    <w:rsid w:val="009702EA"/>
    <w:rsid w:val="009723FD"/>
    <w:rsid w:val="0098153C"/>
    <w:rsid w:val="009B0D33"/>
    <w:rsid w:val="009B17D9"/>
    <w:rsid w:val="009B2B3B"/>
    <w:rsid w:val="009B7074"/>
    <w:rsid w:val="009C065D"/>
    <w:rsid w:val="009C78F5"/>
    <w:rsid w:val="009D0BD1"/>
    <w:rsid w:val="009D113B"/>
    <w:rsid w:val="009D7D48"/>
    <w:rsid w:val="009E0C03"/>
    <w:rsid w:val="009E7280"/>
    <w:rsid w:val="009F4DF7"/>
    <w:rsid w:val="009F4E9A"/>
    <w:rsid w:val="00A01F57"/>
    <w:rsid w:val="00A07CB7"/>
    <w:rsid w:val="00A1575B"/>
    <w:rsid w:val="00A257DB"/>
    <w:rsid w:val="00A27103"/>
    <w:rsid w:val="00A44D17"/>
    <w:rsid w:val="00A575AB"/>
    <w:rsid w:val="00A701D5"/>
    <w:rsid w:val="00A73BCA"/>
    <w:rsid w:val="00A80158"/>
    <w:rsid w:val="00A94006"/>
    <w:rsid w:val="00AB7501"/>
    <w:rsid w:val="00AC1A0C"/>
    <w:rsid w:val="00AE1F23"/>
    <w:rsid w:val="00B25843"/>
    <w:rsid w:val="00B2683B"/>
    <w:rsid w:val="00B2770C"/>
    <w:rsid w:val="00B30AAD"/>
    <w:rsid w:val="00B44A31"/>
    <w:rsid w:val="00B5586D"/>
    <w:rsid w:val="00B6513D"/>
    <w:rsid w:val="00B75502"/>
    <w:rsid w:val="00B77214"/>
    <w:rsid w:val="00B92D7D"/>
    <w:rsid w:val="00B976AD"/>
    <w:rsid w:val="00BA55D1"/>
    <w:rsid w:val="00BD057A"/>
    <w:rsid w:val="00BD0C90"/>
    <w:rsid w:val="00BE6929"/>
    <w:rsid w:val="00BF148C"/>
    <w:rsid w:val="00C33DC3"/>
    <w:rsid w:val="00C35DBC"/>
    <w:rsid w:val="00C43554"/>
    <w:rsid w:val="00C4522E"/>
    <w:rsid w:val="00C945C2"/>
    <w:rsid w:val="00CA264C"/>
    <w:rsid w:val="00CB47DF"/>
    <w:rsid w:val="00CC6249"/>
    <w:rsid w:val="00CE13D2"/>
    <w:rsid w:val="00CE4815"/>
    <w:rsid w:val="00CE73CD"/>
    <w:rsid w:val="00CF0D96"/>
    <w:rsid w:val="00D02604"/>
    <w:rsid w:val="00D031A8"/>
    <w:rsid w:val="00D13D9A"/>
    <w:rsid w:val="00D269C4"/>
    <w:rsid w:val="00D417A6"/>
    <w:rsid w:val="00D41D67"/>
    <w:rsid w:val="00D47DC9"/>
    <w:rsid w:val="00D71A50"/>
    <w:rsid w:val="00D82BFE"/>
    <w:rsid w:val="00D864E8"/>
    <w:rsid w:val="00D86D9B"/>
    <w:rsid w:val="00D91B4C"/>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4141"/>
    <w:rsid w:val="00EC00A4"/>
    <w:rsid w:val="00EC22DC"/>
    <w:rsid w:val="00EC3160"/>
    <w:rsid w:val="00EE12C0"/>
    <w:rsid w:val="00EF608B"/>
    <w:rsid w:val="00F1233F"/>
    <w:rsid w:val="00F123FB"/>
    <w:rsid w:val="00F20699"/>
    <w:rsid w:val="00F232B8"/>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4AB2539"/>
    <w:rsid w:val="07107AFC"/>
    <w:rsid w:val="079B1CAA"/>
    <w:rsid w:val="08E9780C"/>
    <w:rsid w:val="09AE1034"/>
    <w:rsid w:val="09FF0129"/>
    <w:rsid w:val="0AD6181C"/>
    <w:rsid w:val="0EC570B2"/>
    <w:rsid w:val="0FAA3555"/>
    <w:rsid w:val="1114193C"/>
    <w:rsid w:val="11A6625D"/>
    <w:rsid w:val="12AB2CB5"/>
    <w:rsid w:val="13542691"/>
    <w:rsid w:val="137F5235"/>
    <w:rsid w:val="14030150"/>
    <w:rsid w:val="16027150"/>
    <w:rsid w:val="16896315"/>
    <w:rsid w:val="179045BC"/>
    <w:rsid w:val="179D5689"/>
    <w:rsid w:val="183015E8"/>
    <w:rsid w:val="19696CF7"/>
    <w:rsid w:val="1C8B1BF3"/>
    <w:rsid w:val="1D051C5B"/>
    <w:rsid w:val="1D5029AA"/>
    <w:rsid w:val="1D682F98"/>
    <w:rsid w:val="1DF5369D"/>
    <w:rsid w:val="1FFB52D3"/>
    <w:rsid w:val="21AE004B"/>
    <w:rsid w:val="23EB4A74"/>
    <w:rsid w:val="24394317"/>
    <w:rsid w:val="24AB7392"/>
    <w:rsid w:val="25083A27"/>
    <w:rsid w:val="25264285"/>
    <w:rsid w:val="26EA1046"/>
    <w:rsid w:val="27AF4BA5"/>
    <w:rsid w:val="28A6372A"/>
    <w:rsid w:val="28DF0C59"/>
    <w:rsid w:val="2907187F"/>
    <w:rsid w:val="29B97189"/>
    <w:rsid w:val="2A056C2B"/>
    <w:rsid w:val="2B3E0164"/>
    <w:rsid w:val="2B6E7E2B"/>
    <w:rsid w:val="2BE2486C"/>
    <w:rsid w:val="2F494B49"/>
    <w:rsid w:val="3015654A"/>
    <w:rsid w:val="30311EBB"/>
    <w:rsid w:val="30537ED1"/>
    <w:rsid w:val="31006986"/>
    <w:rsid w:val="31011C61"/>
    <w:rsid w:val="33804D20"/>
    <w:rsid w:val="33C823CA"/>
    <w:rsid w:val="341552A9"/>
    <w:rsid w:val="350658EB"/>
    <w:rsid w:val="3548404D"/>
    <w:rsid w:val="35721096"/>
    <w:rsid w:val="37C6529E"/>
    <w:rsid w:val="384F258A"/>
    <w:rsid w:val="38FD63A7"/>
    <w:rsid w:val="3A246B9B"/>
    <w:rsid w:val="3C24326C"/>
    <w:rsid w:val="3D0E3F32"/>
    <w:rsid w:val="3D0F7A19"/>
    <w:rsid w:val="3D3D3BEC"/>
    <w:rsid w:val="3F9523ED"/>
    <w:rsid w:val="3FCD066B"/>
    <w:rsid w:val="3FEF03D6"/>
    <w:rsid w:val="404375C2"/>
    <w:rsid w:val="40561BFB"/>
    <w:rsid w:val="41FD3E29"/>
    <w:rsid w:val="4242097E"/>
    <w:rsid w:val="42600E82"/>
    <w:rsid w:val="430E2072"/>
    <w:rsid w:val="43B576DD"/>
    <w:rsid w:val="4510012C"/>
    <w:rsid w:val="4A7F1CD0"/>
    <w:rsid w:val="4B5251A1"/>
    <w:rsid w:val="4B7B4360"/>
    <w:rsid w:val="4C4B7774"/>
    <w:rsid w:val="4D5D50A1"/>
    <w:rsid w:val="4EDB6A25"/>
    <w:rsid w:val="4FA37E96"/>
    <w:rsid w:val="4FC27A55"/>
    <w:rsid w:val="509D6177"/>
    <w:rsid w:val="51181F7A"/>
    <w:rsid w:val="534010FC"/>
    <w:rsid w:val="5622492D"/>
    <w:rsid w:val="56A24FF4"/>
    <w:rsid w:val="59847EEC"/>
    <w:rsid w:val="5A521C48"/>
    <w:rsid w:val="5ACF60FC"/>
    <w:rsid w:val="5DAD7402"/>
    <w:rsid w:val="5DD60C8D"/>
    <w:rsid w:val="5EB60EC0"/>
    <w:rsid w:val="603C3D4B"/>
    <w:rsid w:val="60873B69"/>
    <w:rsid w:val="6095650F"/>
    <w:rsid w:val="65A733A9"/>
    <w:rsid w:val="66041016"/>
    <w:rsid w:val="66564A62"/>
    <w:rsid w:val="669E1249"/>
    <w:rsid w:val="66CF21D7"/>
    <w:rsid w:val="675337A2"/>
    <w:rsid w:val="683E5B31"/>
    <w:rsid w:val="68717262"/>
    <w:rsid w:val="6A221D5B"/>
    <w:rsid w:val="6A3407EC"/>
    <w:rsid w:val="6B320D4C"/>
    <w:rsid w:val="6D54524C"/>
    <w:rsid w:val="6E981469"/>
    <w:rsid w:val="709275B6"/>
    <w:rsid w:val="713F4727"/>
    <w:rsid w:val="71AE6CB5"/>
    <w:rsid w:val="73BA5706"/>
    <w:rsid w:val="746630B1"/>
    <w:rsid w:val="746C1D4A"/>
    <w:rsid w:val="74880DF2"/>
    <w:rsid w:val="767C572B"/>
    <w:rsid w:val="77492B3A"/>
    <w:rsid w:val="774C69E0"/>
    <w:rsid w:val="77982204"/>
    <w:rsid w:val="77D70206"/>
    <w:rsid w:val="78164610"/>
    <w:rsid w:val="788A2401"/>
    <w:rsid w:val="79213AE3"/>
    <w:rsid w:val="794321A1"/>
    <w:rsid w:val="79E2563E"/>
    <w:rsid w:val="7BAB785A"/>
    <w:rsid w:val="7C341000"/>
    <w:rsid w:val="7C5B37D4"/>
    <w:rsid w:val="7CED610A"/>
    <w:rsid w:val="7D1E4642"/>
    <w:rsid w:val="7D834B30"/>
    <w:rsid w:val="7D9B4C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D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4523DE"/>
    <w:pPr>
      <w:jc w:val="left"/>
    </w:pPr>
  </w:style>
  <w:style w:type="character" w:customStyle="1" w:styleId="CommentTextChar">
    <w:name w:val="Comment Text Char"/>
    <w:basedOn w:val="DefaultParagraphFont"/>
    <w:link w:val="CommentText"/>
    <w:uiPriority w:val="99"/>
    <w:semiHidden/>
    <w:rsid w:val="00B32561"/>
    <w:rPr>
      <w:rFonts w:ascii="Calibri" w:hAnsi="Calibri" w:cs="Calibri"/>
      <w:szCs w:val="21"/>
    </w:rPr>
  </w:style>
  <w:style w:type="paragraph" w:styleId="BalloonText">
    <w:name w:val="Balloon Text"/>
    <w:basedOn w:val="Normal"/>
    <w:link w:val="BalloonTextChar"/>
    <w:uiPriority w:val="99"/>
    <w:semiHidden/>
    <w:rsid w:val="004523DE"/>
    <w:rPr>
      <w:sz w:val="18"/>
      <w:szCs w:val="18"/>
    </w:rPr>
  </w:style>
  <w:style w:type="character" w:customStyle="1" w:styleId="BalloonTextChar">
    <w:name w:val="Balloon Text Char"/>
    <w:basedOn w:val="DefaultParagraphFont"/>
    <w:link w:val="BalloonText"/>
    <w:uiPriority w:val="99"/>
    <w:semiHidden/>
    <w:locked/>
    <w:rsid w:val="004523DE"/>
    <w:rPr>
      <w:rFonts w:ascii="Calibri" w:eastAsia="宋体" w:hAnsi="Calibri" w:cs="Calibri"/>
      <w:kern w:val="2"/>
      <w:sz w:val="18"/>
      <w:szCs w:val="18"/>
    </w:rPr>
  </w:style>
  <w:style w:type="paragraph" w:styleId="Footer">
    <w:name w:val="footer"/>
    <w:basedOn w:val="Normal"/>
    <w:link w:val="FooterChar"/>
    <w:uiPriority w:val="99"/>
    <w:rsid w:val="004523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523DE"/>
    <w:rPr>
      <w:sz w:val="18"/>
      <w:szCs w:val="18"/>
    </w:rPr>
  </w:style>
  <w:style w:type="paragraph" w:styleId="Header">
    <w:name w:val="header"/>
    <w:basedOn w:val="Normal"/>
    <w:link w:val="HeaderChar"/>
    <w:uiPriority w:val="99"/>
    <w:rsid w:val="004523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523DE"/>
    <w:rPr>
      <w:sz w:val="18"/>
      <w:szCs w:val="18"/>
    </w:rPr>
  </w:style>
  <w:style w:type="paragraph" w:styleId="NormalWeb">
    <w:name w:val="Normal (Web)"/>
    <w:basedOn w:val="Normal"/>
    <w:uiPriority w:val="99"/>
    <w:rsid w:val="004523DE"/>
    <w:pPr>
      <w:spacing w:beforeAutospacing="1" w:afterAutospacing="1"/>
      <w:jc w:val="left"/>
    </w:pPr>
    <w:rPr>
      <w:kern w:val="0"/>
      <w:sz w:val="24"/>
      <w:szCs w:val="24"/>
    </w:rPr>
  </w:style>
  <w:style w:type="table" w:styleId="TableGrid">
    <w:name w:val="Table Grid"/>
    <w:basedOn w:val="TableNormal"/>
    <w:uiPriority w:val="99"/>
    <w:rsid w:val="004523D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DefaultParagraphFont"/>
    <w:uiPriority w:val="99"/>
    <w:rsid w:val="004523DE"/>
    <w:rPr>
      <w:rFonts w:ascii="宋体" w:eastAsia="宋体" w:hAnsi="宋体" w:cs="宋体"/>
      <w:color w:val="000000"/>
      <w:sz w:val="18"/>
      <w:szCs w:val="18"/>
      <w:u w:val="none"/>
    </w:rPr>
  </w:style>
  <w:style w:type="character" w:customStyle="1" w:styleId="font11">
    <w:name w:val="font11"/>
    <w:basedOn w:val="DefaultParagraphFont"/>
    <w:uiPriority w:val="99"/>
    <w:rsid w:val="004523DE"/>
    <w:rPr>
      <w:rFonts w:ascii="宋体" w:eastAsia="宋体" w:hAnsi="宋体" w:cs="宋体"/>
      <w:color w:val="000000"/>
      <w:sz w:val="18"/>
      <w:szCs w:val="18"/>
      <w:u w:val="none"/>
      <w:vertAlign w:val="subscript"/>
    </w:rPr>
  </w:style>
  <w:style w:type="character" w:customStyle="1" w:styleId="font31">
    <w:name w:val="font31"/>
    <w:basedOn w:val="DefaultParagraphFont"/>
    <w:uiPriority w:val="99"/>
    <w:rsid w:val="004523DE"/>
    <w:rPr>
      <w:rFonts w:ascii="宋体" w:eastAsia="宋体" w:hAnsi="宋体" w:cs="宋体"/>
      <w:b/>
      <w:bCs/>
      <w:color w:val="000000"/>
      <w:sz w:val="18"/>
      <w:szCs w:val="18"/>
      <w:u w:val="none"/>
    </w:rPr>
  </w:style>
  <w:style w:type="character" w:customStyle="1" w:styleId="font41">
    <w:name w:val="font41"/>
    <w:basedOn w:val="DefaultParagraphFont"/>
    <w:uiPriority w:val="99"/>
    <w:rsid w:val="004523DE"/>
    <w:rPr>
      <w:rFonts w:ascii="宋体" w:eastAsia="宋体" w:hAnsi="宋体" w:cs="宋体"/>
      <w:color w:val="000000"/>
      <w:sz w:val="18"/>
      <w:szCs w:val="18"/>
      <w:u w:val="none"/>
      <w:vertAlign w:val="superscript"/>
    </w:rPr>
  </w:style>
  <w:style w:type="character" w:customStyle="1" w:styleId="font91">
    <w:name w:val="font91"/>
    <w:basedOn w:val="DefaultParagraphFont"/>
    <w:uiPriority w:val="99"/>
    <w:rsid w:val="004523DE"/>
    <w:rPr>
      <w:rFonts w:ascii="宋体" w:eastAsia="宋体" w:hAnsi="宋体" w:cs="宋体"/>
      <w:color w:val="000000"/>
      <w:sz w:val="20"/>
      <w:szCs w:val="20"/>
      <w:u w:val="none"/>
      <w:vertAlign w:val="subscript"/>
    </w:rPr>
  </w:style>
  <w:style w:type="character" w:customStyle="1" w:styleId="font131">
    <w:name w:val="font131"/>
    <w:basedOn w:val="DefaultParagraphFont"/>
    <w:uiPriority w:val="99"/>
    <w:rsid w:val="004523DE"/>
    <w:rPr>
      <w:rFonts w:ascii="宋体" w:eastAsia="宋体" w:hAnsi="宋体" w:cs="宋体"/>
      <w:color w:val="000000"/>
      <w:sz w:val="20"/>
      <w:szCs w:val="20"/>
      <w:u w:val="none"/>
      <w:vertAlign w:val="superscript"/>
    </w:rPr>
  </w:style>
  <w:style w:type="character" w:customStyle="1" w:styleId="font181">
    <w:name w:val="font181"/>
    <w:basedOn w:val="DefaultParagraphFont"/>
    <w:uiPriority w:val="99"/>
    <w:rsid w:val="004523DE"/>
    <w:rPr>
      <w:rFonts w:ascii="宋体" w:eastAsia="宋体" w:hAnsi="宋体" w:cs="宋体"/>
      <w:b/>
      <w:bCs/>
      <w:color w:val="FF0000"/>
      <w:sz w:val="20"/>
      <w:szCs w:val="20"/>
      <w:u w:val="none"/>
    </w:rPr>
  </w:style>
  <w:style w:type="character" w:customStyle="1" w:styleId="font281">
    <w:name w:val="font281"/>
    <w:basedOn w:val="DefaultParagraphFont"/>
    <w:uiPriority w:val="99"/>
    <w:rsid w:val="004523DE"/>
    <w:rPr>
      <w:rFonts w:ascii="宋体" w:eastAsia="宋体" w:hAnsi="宋体" w:cs="宋体"/>
      <w:b/>
      <w:bCs/>
      <w:color w:val="000000"/>
      <w:sz w:val="20"/>
      <w:szCs w:val="20"/>
      <w:u w:val="none"/>
    </w:rPr>
  </w:style>
  <w:style w:type="character" w:customStyle="1" w:styleId="font221">
    <w:name w:val="font221"/>
    <w:basedOn w:val="DefaultParagraphFont"/>
    <w:uiPriority w:val="99"/>
    <w:rsid w:val="004523DE"/>
    <w:rPr>
      <w:rFonts w:ascii="宋体" w:eastAsia="宋体" w:hAnsi="宋体" w:cs="宋体"/>
      <w:color w:val="000000"/>
      <w:sz w:val="20"/>
      <w:szCs w:val="20"/>
      <w:u w:val="none"/>
    </w:rPr>
  </w:style>
  <w:style w:type="character" w:customStyle="1" w:styleId="font61">
    <w:name w:val="font61"/>
    <w:basedOn w:val="DefaultParagraphFont"/>
    <w:uiPriority w:val="99"/>
    <w:rsid w:val="004523DE"/>
    <w:rPr>
      <w:rFonts w:ascii="宋体" w:eastAsia="宋体" w:hAnsi="宋体" w:cs="宋体"/>
      <w:color w:val="000000"/>
      <w:sz w:val="20"/>
      <w:szCs w:val="20"/>
      <w:u w:val="none"/>
    </w:rPr>
  </w:style>
  <w:style w:type="character" w:customStyle="1" w:styleId="font241">
    <w:name w:val="font241"/>
    <w:basedOn w:val="DefaultParagraphFont"/>
    <w:uiPriority w:val="99"/>
    <w:rsid w:val="004523DE"/>
    <w:rPr>
      <w:rFonts w:ascii="宋体" w:eastAsia="宋体" w:hAnsi="宋体" w:cs="宋体"/>
      <w:color w:val="000000"/>
      <w:sz w:val="20"/>
      <w:szCs w:val="20"/>
      <w:u w:val="none"/>
      <w:vertAlign w:val="subscript"/>
    </w:rPr>
  </w:style>
  <w:style w:type="character" w:customStyle="1" w:styleId="font212">
    <w:name w:val="font212"/>
    <w:basedOn w:val="DefaultParagraphFont"/>
    <w:uiPriority w:val="99"/>
    <w:rsid w:val="004523DE"/>
    <w:rPr>
      <w:rFonts w:ascii="宋体" w:eastAsia="宋体" w:hAnsi="宋体" w:cs="宋体"/>
      <w:color w:val="FF0000"/>
      <w:sz w:val="20"/>
      <w:szCs w:val="20"/>
      <w:u w:val="none"/>
    </w:rPr>
  </w:style>
  <w:style w:type="character" w:customStyle="1" w:styleId="font201">
    <w:name w:val="font201"/>
    <w:basedOn w:val="DefaultParagraphFont"/>
    <w:uiPriority w:val="99"/>
    <w:rsid w:val="004523DE"/>
    <w:rPr>
      <w:rFonts w:ascii="宋体" w:eastAsia="宋体" w:hAnsi="宋体" w:cs="宋体"/>
      <w:color w:val="000000"/>
      <w:sz w:val="18"/>
      <w:szCs w:val="18"/>
      <w:u w:val="none"/>
    </w:rPr>
  </w:style>
  <w:style w:type="character" w:customStyle="1" w:styleId="font261">
    <w:name w:val="font261"/>
    <w:basedOn w:val="DefaultParagraphFont"/>
    <w:uiPriority w:val="99"/>
    <w:rsid w:val="004523DE"/>
    <w:rPr>
      <w:rFonts w:ascii="宋体" w:eastAsia="宋体" w:hAnsi="宋体" w:cs="宋体"/>
      <w:color w:val="000000"/>
      <w:sz w:val="18"/>
      <w:szCs w:val="18"/>
      <w:u w:val="none"/>
      <w:vertAlign w:val="superscript"/>
    </w:rPr>
  </w:style>
  <w:style w:type="character" w:customStyle="1" w:styleId="font171">
    <w:name w:val="font171"/>
    <w:basedOn w:val="DefaultParagraphFont"/>
    <w:uiPriority w:val="99"/>
    <w:rsid w:val="004523DE"/>
    <w:rPr>
      <w:rFonts w:ascii="宋体" w:eastAsia="宋体" w:hAnsi="宋体" w:cs="宋体"/>
      <w:color w:val="000000"/>
      <w:sz w:val="18"/>
      <w:szCs w:val="18"/>
      <w:u w:val="none"/>
    </w:rPr>
  </w:style>
  <w:style w:type="character" w:customStyle="1" w:styleId="font81">
    <w:name w:val="font81"/>
    <w:basedOn w:val="DefaultParagraphFont"/>
    <w:uiPriority w:val="99"/>
    <w:rsid w:val="004523DE"/>
    <w:rPr>
      <w:rFonts w:ascii="宋体" w:eastAsia="宋体" w:hAnsi="宋体" w:cs="宋体"/>
      <w:b/>
      <w:bCs/>
      <w:color w:val="000000"/>
      <w:sz w:val="20"/>
      <w:szCs w:val="20"/>
      <w:u w:val="none"/>
    </w:rPr>
  </w:style>
  <w:style w:type="character" w:customStyle="1" w:styleId="font01">
    <w:name w:val="font01"/>
    <w:basedOn w:val="DefaultParagraphFont"/>
    <w:uiPriority w:val="99"/>
    <w:rsid w:val="004523DE"/>
    <w:rPr>
      <w:rFonts w:ascii="宋体" w:eastAsia="宋体" w:hAnsi="宋体" w:cs="宋体"/>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158</Words>
  <Characters>902</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邴健</cp:lastModifiedBy>
  <cp:revision>63</cp:revision>
  <cp:lastPrinted>2016-11-22T01:43:00Z</cp:lastPrinted>
  <dcterms:created xsi:type="dcterms:W3CDTF">2017-09-01T08:15:00Z</dcterms:created>
  <dcterms:modified xsi:type="dcterms:W3CDTF">2019-05-24T08:45:00Z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