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85380"/>
            <wp:effectExtent l="0" t="0" r="5080" b="12700"/>
            <wp:docPr id="3" name="图片 3" descr="广州市海珠区百泉药材商店经营劣药案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州市海珠区百泉药材商店经营劣药案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507605"/>
            <wp:effectExtent l="0" t="0" r="11430" b="5715"/>
            <wp:docPr id="2" name="图片 2" descr="广州市海珠区百泉药材商店经营劣药案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市海珠区百泉药材商店经营劣药案1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5225"/>
            <wp:effectExtent l="0" t="0" r="1270" b="13335"/>
            <wp:docPr id="1" name="图片 1" descr="广州市海珠区百泉药材商店经营劣药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市海珠区百泉药材商店经营劣药案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2019-12-04T06:30:15Z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