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both"/>
        <w:rPr>
          <w:rFonts w:hint="eastAsia"/>
        </w:rPr>
      </w:pPr>
    </w:p>
    <w:p>
      <w:pPr>
        <w:spacing w:line="560" w:lineRule="exact"/>
        <w:ind w:left="-178" w:leftChars="-85" w:right="-153" w:rightChars="-73"/>
        <w:jc w:val="center"/>
        <w:rPr>
          <w:rFonts w:ascii="方正小标宋简体" w:eastAsia="方正小标宋简体"/>
          <w:sz w:val="44"/>
          <w:szCs w:val="44"/>
        </w:rPr>
      </w:pPr>
      <w:r>
        <w:rPr>
          <w:rFonts w:hint="eastAsia" w:ascii="仿宋_GB2312" w:hAnsi="仿宋_GB2312" w:eastAsia="仿宋_GB2312" w:cs="仿宋_GB2312"/>
          <w:b w:val="0"/>
          <w:bCs w:val="0"/>
          <w:sz w:val="32"/>
          <w:szCs w:val="32"/>
          <w:lang w:val="en-US" w:eastAsia="zh-CN"/>
        </w:rPr>
        <w:t xml:space="preserve"> </w:t>
      </w:r>
      <w:r>
        <w:rPr>
          <w:rFonts w:hint="eastAsia" w:ascii="方正小标宋简体" w:eastAsia="方正小标宋简体" w:cs="方正小标宋简体"/>
          <w:sz w:val="44"/>
          <w:szCs w:val="44"/>
        </w:rPr>
        <w:t>海珠区</w:t>
      </w:r>
      <w:r>
        <w:rPr>
          <w:rFonts w:hint="eastAsia" w:ascii="方正小标宋简体" w:eastAsia="方正小标宋简体" w:cs="方正小标宋简体"/>
          <w:sz w:val="44"/>
          <w:szCs w:val="44"/>
          <w:lang w:val="en-US" w:eastAsia="zh-CN"/>
        </w:rPr>
        <w:t>科工商信</w:t>
      </w:r>
      <w:r>
        <w:rPr>
          <w:rFonts w:hint="eastAsia" w:ascii="方正小标宋简体" w:eastAsia="方正小标宋简体" w:cs="方正小标宋简体"/>
          <w:sz w:val="44"/>
          <w:szCs w:val="44"/>
        </w:rPr>
        <w:t>局2019年度行政许可</w:t>
      </w:r>
    </w:p>
    <w:p>
      <w:pPr>
        <w:spacing w:line="560" w:lineRule="exact"/>
        <w:ind w:left="-178" w:leftChars="-85" w:right="-153" w:rightChars="-73"/>
        <w:jc w:val="center"/>
        <w:rPr>
          <w:rFonts w:ascii="方正小标宋简体" w:eastAsia="方正小标宋简体"/>
          <w:sz w:val="44"/>
          <w:szCs w:val="44"/>
        </w:rPr>
      </w:pPr>
      <w:r>
        <w:rPr>
          <w:rFonts w:hint="eastAsia" w:ascii="方正小标宋简体" w:eastAsia="方正小标宋简体" w:cs="方正小标宋简体"/>
          <w:sz w:val="44"/>
          <w:szCs w:val="44"/>
        </w:rPr>
        <w:t>实施和监督管理情况报告</w:t>
      </w:r>
    </w:p>
    <w:p>
      <w:pPr>
        <w:spacing w:line="560" w:lineRule="exact"/>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pacing w:line="560" w:lineRule="exact"/>
        <w:ind w:firstLine="640" w:firstLineChars="200"/>
        <w:jc w:val="left"/>
        <w:textAlignment w:val="auto"/>
        <w:rPr>
          <w:rFonts w:eastAsia="仿宋_GB2312"/>
          <w:sz w:val="32"/>
          <w:szCs w:val="32"/>
        </w:rPr>
      </w:pPr>
      <w:r>
        <w:rPr>
          <w:rFonts w:eastAsia="仿宋_GB2312"/>
          <w:sz w:val="32"/>
          <w:szCs w:val="32"/>
        </w:rPr>
        <w:t>根据《广东省行政许可监督管理条例》规定和有关要求，现将我局</w:t>
      </w:r>
      <w:r>
        <w:rPr>
          <w:rFonts w:ascii="Times New Roman" w:hAnsi="Times New Roman" w:eastAsia="仿宋_GB2312" w:cs="Times New Roman"/>
          <w:sz w:val="32"/>
          <w:szCs w:val="32"/>
        </w:rPr>
        <w:t>2019</w:t>
      </w:r>
      <w:r>
        <w:rPr>
          <w:rFonts w:eastAsia="仿宋_GB2312"/>
          <w:sz w:val="32"/>
          <w:szCs w:val="32"/>
        </w:rPr>
        <w:t>年行政许可实施和监督管理情况报告如下：</w:t>
      </w:r>
    </w:p>
    <w:p>
      <w:pPr>
        <w:keepNext w:val="0"/>
        <w:keepLines w:val="0"/>
        <w:pageBreakBefore w:val="0"/>
        <w:widowControl w:val="0"/>
        <w:numPr>
          <w:ilvl w:val="0"/>
          <w:numId w:val="1"/>
        </w:numPr>
        <w:kinsoku/>
        <w:wordWrap/>
        <w:overflowPunct/>
        <w:topLinePunct w:val="0"/>
        <w:autoSpaceDE/>
        <w:autoSpaceDN/>
        <w:bidi w:val="0"/>
        <w:adjustRightInd/>
        <w:spacing w:line="560" w:lineRule="exact"/>
        <w:ind w:firstLine="630"/>
        <w:textAlignment w:val="auto"/>
        <w:rPr>
          <w:rFonts w:eastAsia="黑体"/>
          <w:sz w:val="32"/>
          <w:szCs w:val="32"/>
        </w:rPr>
      </w:pPr>
      <w:r>
        <w:rPr>
          <w:rFonts w:hAnsi="黑体" w:eastAsia="黑体"/>
          <w:sz w:val="32"/>
          <w:szCs w:val="32"/>
        </w:rPr>
        <w:t>基本情况</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eastAsia="仿宋_GB2312"/>
          <w:sz w:val="32"/>
          <w:szCs w:val="32"/>
        </w:rPr>
      </w:pPr>
      <w:r>
        <w:rPr>
          <w:rFonts w:ascii="Times New Roman" w:hAnsi="Times New Roman" w:eastAsia="仿宋_GB2312" w:cs="Times New Roman"/>
          <w:sz w:val="32"/>
          <w:szCs w:val="32"/>
        </w:rPr>
        <w:t>2019</w:t>
      </w:r>
      <w:r>
        <w:rPr>
          <w:rFonts w:eastAsia="仿宋_GB2312"/>
          <w:sz w:val="32"/>
          <w:szCs w:val="32"/>
        </w:rPr>
        <w:t>年，我局共有</w:t>
      </w:r>
      <w:r>
        <w:rPr>
          <w:rFonts w:hint="eastAsia" w:ascii="Times New Roman" w:hAnsi="Times New Roman" w:eastAsia="仿宋_GB2312" w:cs="Times New Roman"/>
          <w:sz w:val="32"/>
          <w:szCs w:val="32"/>
          <w:lang w:val="en-US" w:eastAsia="zh-CN"/>
        </w:rPr>
        <w:t>3</w:t>
      </w:r>
      <w:r>
        <w:rPr>
          <w:rFonts w:eastAsia="仿宋_GB2312"/>
          <w:sz w:val="32"/>
          <w:szCs w:val="32"/>
        </w:rPr>
        <w:t>项行政许可事项，包括</w:t>
      </w:r>
      <w:bookmarkStart w:id="0" w:name="_GoBack"/>
      <w:bookmarkEnd w:id="0"/>
      <w:r>
        <w:rPr>
          <w:rFonts w:eastAsia="仿宋_GB2312"/>
          <w:sz w:val="32"/>
          <w:szCs w:val="32"/>
        </w:rPr>
        <w:t>：</w:t>
      </w:r>
      <w:r>
        <w:rPr>
          <w:rFonts w:hint="eastAsia" w:ascii="仿宋_GB2312" w:eastAsia="仿宋_GB2312"/>
          <w:sz w:val="32"/>
          <w:szCs w:val="32"/>
        </w:rPr>
        <w:t>外商投资企业设立（含合同、章程）审批</w:t>
      </w:r>
      <w:r>
        <w:rPr>
          <w:rFonts w:hint="eastAsia" w:ascii="仿宋_GB2312" w:eastAsia="仿宋_GB2312"/>
          <w:sz w:val="32"/>
          <w:szCs w:val="32"/>
          <w:lang w:eastAsia="zh-CN"/>
        </w:rPr>
        <w:t>、</w:t>
      </w:r>
      <w:r>
        <w:rPr>
          <w:rFonts w:hint="eastAsia" w:ascii="仿宋_GB2312" w:eastAsia="仿宋_GB2312"/>
          <w:sz w:val="32"/>
          <w:szCs w:val="32"/>
        </w:rPr>
        <w:t>外商投资企业</w:t>
      </w:r>
      <w:r>
        <w:rPr>
          <w:rFonts w:hint="eastAsia" w:ascii="仿宋_GB2312" w:eastAsia="仿宋_GB2312"/>
          <w:sz w:val="32"/>
          <w:szCs w:val="32"/>
          <w:lang w:val="en-US" w:eastAsia="zh-CN"/>
        </w:rPr>
        <w:t>变更</w:t>
      </w:r>
      <w:r>
        <w:rPr>
          <w:rFonts w:hint="eastAsia" w:ascii="仿宋_GB2312" w:eastAsia="仿宋_GB2312"/>
          <w:sz w:val="32"/>
          <w:szCs w:val="32"/>
        </w:rPr>
        <w:t>审批</w:t>
      </w:r>
      <w:r>
        <w:rPr>
          <w:rFonts w:hint="eastAsia" w:ascii="仿宋_GB2312" w:eastAsia="仿宋_GB2312"/>
          <w:sz w:val="32"/>
          <w:szCs w:val="32"/>
          <w:lang w:eastAsia="zh-CN"/>
        </w:rPr>
        <w:t>、</w:t>
      </w:r>
      <w:r>
        <w:rPr>
          <w:rFonts w:hint="eastAsia" w:ascii="仿宋_GB2312" w:eastAsia="仿宋_GB2312"/>
          <w:sz w:val="32"/>
          <w:szCs w:val="32"/>
        </w:rPr>
        <w:t>外商投资企业</w:t>
      </w:r>
      <w:r>
        <w:rPr>
          <w:rFonts w:hint="eastAsia" w:ascii="仿宋_GB2312" w:eastAsia="仿宋_GB2312"/>
          <w:sz w:val="32"/>
          <w:szCs w:val="32"/>
          <w:lang w:val="en-US" w:eastAsia="zh-CN"/>
        </w:rPr>
        <w:t>终止</w:t>
      </w:r>
      <w:r>
        <w:rPr>
          <w:rFonts w:hint="eastAsia" w:ascii="仿宋_GB2312" w:eastAsia="仿宋_GB2312"/>
          <w:sz w:val="32"/>
          <w:szCs w:val="32"/>
        </w:rPr>
        <w:t>审批</w:t>
      </w:r>
      <w:r>
        <w:rPr>
          <w:rFonts w:hint="eastAsia" w:eastAsia="仿宋_GB2312"/>
          <w:sz w:val="32"/>
          <w:szCs w:val="32"/>
        </w:rPr>
        <w:t>。</w:t>
      </w:r>
      <w:r>
        <w:rPr>
          <w:rFonts w:eastAsia="仿宋_GB2312"/>
          <w:sz w:val="32"/>
          <w:szCs w:val="32"/>
        </w:rPr>
        <w:t>全部事项已纳入区级目录，</w:t>
      </w:r>
      <w:r>
        <w:rPr>
          <w:rFonts w:hint="eastAsia" w:eastAsia="仿宋_GB2312"/>
          <w:sz w:val="32"/>
          <w:szCs w:val="32"/>
        </w:rPr>
        <w:t>并</w:t>
      </w:r>
      <w:r>
        <w:rPr>
          <w:rFonts w:eastAsia="仿宋_GB2312"/>
          <w:sz w:val="32"/>
          <w:szCs w:val="32"/>
        </w:rPr>
        <w:t>进驻广东省政务服务网</w:t>
      </w:r>
      <w:r>
        <w:rPr>
          <w:rFonts w:hint="eastAsia" w:eastAsia="仿宋_GB2312"/>
          <w:sz w:val="32"/>
          <w:szCs w:val="32"/>
        </w:rPr>
        <w:t>。</w:t>
      </w:r>
      <w:r>
        <w:rPr>
          <w:rFonts w:ascii="Times New Roman" w:hAnsi="Times New Roman" w:eastAsia="仿宋_GB2312" w:cs="Times New Roman"/>
          <w:sz w:val="32"/>
          <w:szCs w:val="32"/>
        </w:rPr>
        <w:t>2019</w:t>
      </w:r>
      <w:r>
        <w:rPr>
          <w:rFonts w:eastAsia="仿宋_GB2312"/>
          <w:sz w:val="32"/>
          <w:szCs w:val="32"/>
        </w:rPr>
        <w:t>年，我局共接受行政许可审批事项的申请</w:t>
      </w:r>
      <w:r>
        <w:rPr>
          <w:rFonts w:hint="eastAsia" w:ascii="Times New Roman" w:hAnsi="Times New Roman" w:eastAsia="仿宋_GB2312" w:cs="Times New Roman"/>
          <w:sz w:val="32"/>
          <w:szCs w:val="32"/>
          <w:lang w:val="en-US" w:eastAsia="zh-CN"/>
        </w:rPr>
        <w:t>0</w:t>
      </w:r>
      <w:r>
        <w:rPr>
          <w:rFonts w:eastAsia="仿宋_GB2312"/>
          <w:sz w:val="32"/>
          <w:szCs w:val="32"/>
        </w:rPr>
        <w:t>宗。</w:t>
      </w:r>
    </w:p>
    <w:p>
      <w:pPr>
        <w:keepNext w:val="0"/>
        <w:keepLines w:val="0"/>
        <w:pageBreakBefore w:val="0"/>
        <w:widowControl w:val="0"/>
        <w:kinsoku/>
        <w:wordWrap/>
        <w:overflowPunct/>
        <w:topLinePunct w:val="0"/>
        <w:autoSpaceDE/>
        <w:autoSpaceDN/>
        <w:bidi w:val="0"/>
        <w:adjustRightInd/>
        <w:spacing w:line="560" w:lineRule="exact"/>
        <w:ind w:firstLine="480" w:firstLineChars="150"/>
        <w:textAlignment w:val="auto"/>
        <w:rPr>
          <w:rFonts w:eastAsia="楷体_GB2312"/>
          <w:sz w:val="32"/>
          <w:szCs w:val="32"/>
        </w:rPr>
      </w:pPr>
      <w:r>
        <w:rPr>
          <w:rFonts w:hAnsi="楷体_GB2312" w:eastAsia="楷体_GB2312"/>
          <w:sz w:val="32"/>
          <w:szCs w:val="32"/>
        </w:rPr>
        <w:t>（一）依法实施情况</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eastAsia="仿宋_GB2312"/>
          <w:sz w:val="32"/>
          <w:szCs w:val="32"/>
        </w:rPr>
      </w:pPr>
      <w:r>
        <w:rPr>
          <w:rFonts w:eastAsia="仿宋_GB2312"/>
          <w:sz w:val="32"/>
          <w:szCs w:val="32"/>
        </w:rPr>
        <w:t>我局严格按照法律法规规定的审批权限、范围、程序、条件等开展行政许可审批，没有变相设定和实施行政许可情况。</w:t>
      </w:r>
    </w:p>
    <w:p>
      <w:pPr>
        <w:keepNext w:val="0"/>
        <w:keepLines w:val="0"/>
        <w:pageBreakBefore w:val="0"/>
        <w:widowControl w:val="0"/>
        <w:kinsoku/>
        <w:wordWrap/>
        <w:overflowPunct/>
        <w:topLinePunct w:val="0"/>
        <w:autoSpaceDE/>
        <w:autoSpaceDN/>
        <w:bidi w:val="0"/>
        <w:adjustRightInd/>
        <w:spacing w:line="560" w:lineRule="exact"/>
        <w:ind w:firstLine="480" w:firstLineChars="150"/>
        <w:textAlignment w:val="auto"/>
        <w:rPr>
          <w:rFonts w:eastAsia="楷体_GB2312"/>
          <w:sz w:val="32"/>
          <w:szCs w:val="32"/>
        </w:rPr>
      </w:pPr>
      <w:r>
        <w:rPr>
          <w:rFonts w:hAnsi="楷体_GB2312" w:eastAsia="楷体_GB2312"/>
          <w:sz w:val="32"/>
          <w:szCs w:val="32"/>
        </w:rPr>
        <w:t>（二）公开公示情况</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eastAsia="仿宋_GB2312"/>
          <w:sz w:val="32"/>
          <w:szCs w:val="32"/>
        </w:rPr>
      </w:pPr>
      <w:r>
        <w:rPr>
          <w:rFonts w:eastAsia="仿宋_GB2312"/>
          <w:sz w:val="32"/>
          <w:szCs w:val="32"/>
        </w:rPr>
        <w:t>我局已在广东</w:t>
      </w:r>
      <w:r>
        <w:rPr>
          <w:rFonts w:hint="eastAsia" w:eastAsia="仿宋_GB2312"/>
          <w:sz w:val="32"/>
          <w:szCs w:val="32"/>
        </w:rPr>
        <w:t>省</w:t>
      </w:r>
      <w:r>
        <w:rPr>
          <w:rFonts w:eastAsia="仿宋_GB2312"/>
          <w:sz w:val="32"/>
          <w:szCs w:val="32"/>
        </w:rPr>
        <w:t>政务服务网</w:t>
      </w:r>
      <w:r>
        <w:rPr>
          <w:rFonts w:hint="eastAsia" w:eastAsia="仿宋_GB2312"/>
          <w:sz w:val="32"/>
          <w:szCs w:val="32"/>
        </w:rPr>
        <w:t>和广东省行政执法信息公示平台</w:t>
      </w:r>
      <w:r>
        <w:rPr>
          <w:rFonts w:hint="eastAsia" w:eastAsia="仿宋_GB2312"/>
          <w:sz w:val="32"/>
          <w:szCs w:val="32"/>
          <w:lang w:eastAsia="zh-CN"/>
        </w:rPr>
        <w:t>、</w:t>
      </w:r>
      <w:r>
        <w:rPr>
          <w:rFonts w:hint="eastAsia" w:eastAsia="仿宋_GB2312"/>
          <w:sz w:val="32"/>
          <w:szCs w:val="32"/>
          <w:lang w:val="en-US" w:eastAsia="zh-CN"/>
        </w:rPr>
        <w:t>海珠区人民政府网</w:t>
      </w:r>
      <w:r>
        <w:rPr>
          <w:rFonts w:hint="eastAsia" w:eastAsia="仿宋_GB2312"/>
          <w:sz w:val="32"/>
          <w:szCs w:val="32"/>
        </w:rPr>
        <w:t>上，</w:t>
      </w:r>
      <w:r>
        <w:rPr>
          <w:rFonts w:eastAsia="仿宋_GB2312"/>
          <w:sz w:val="32"/>
          <w:szCs w:val="32"/>
        </w:rPr>
        <w:t>公开公示实施主体、依据、程序、条件、期限、</w:t>
      </w:r>
      <w:r>
        <w:rPr>
          <w:rFonts w:hint="eastAsia" w:eastAsia="仿宋_GB2312"/>
          <w:sz w:val="32"/>
          <w:szCs w:val="32"/>
        </w:rPr>
        <w:t>裁量标准、</w:t>
      </w:r>
      <w:r>
        <w:rPr>
          <w:rFonts w:eastAsia="仿宋_GB2312"/>
          <w:sz w:val="32"/>
          <w:szCs w:val="32"/>
        </w:rPr>
        <w:t>申请材料及办法、收费标准等信息。</w:t>
      </w:r>
    </w:p>
    <w:p>
      <w:pPr>
        <w:keepNext w:val="0"/>
        <w:keepLines w:val="0"/>
        <w:pageBreakBefore w:val="0"/>
        <w:widowControl w:val="0"/>
        <w:kinsoku/>
        <w:wordWrap/>
        <w:overflowPunct/>
        <w:topLinePunct w:val="0"/>
        <w:autoSpaceDE/>
        <w:autoSpaceDN/>
        <w:bidi w:val="0"/>
        <w:adjustRightInd/>
        <w:spacing w:line="560" w:lineRule="exact"/>
        <w:ind w:firstLine="480" w:firstLineChars="150"/>
        <w:textAlignment w:val="auto"/>
        <w:rPr>
          <w:rFonts w:eastAsia="楷体_GB2312"/>
          <w:sz w:val="32"/>
          <w:szCs w:val="32"/>
        </w:rPr>
      </w:pPr>
      <w:r>
        <w:rPr>
          <w:rFonts w:hAnsi="楷体_GB2312" w:eastAsia="楷体_GB2312"/>
          <w:sz w:val="32"/>
          <w:szCs w:val="32"/>
        </w:rPr>
        <w:t>（三）监督管理情况</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eastAsia="仿宋_GB2312"/>
          <w:sz w:val="32"/>
          <w:szCs w:val="32"/>
        </w:rPr>
      </w:pPr>
      <w:r>
        <w:rPr>
          <w:rFonts w:eastAsia="仿宋_GB2312"/>
          <w:sz w:val="32"/>
          <w:szCs w:val="32"/>
        </w:rPr>
        <w:t>在广东</w:t>
      </w:r>
      <w:r>
        <w:rPr>
          <w:rFonts w:hint="eastAsia" w:eastAsia="仿宋_GB2312"/>
          <w:sz w:val="32"/>
          <w:szCs w:val="32"/>
        </w:rPr>
        <w:t>省</w:t>
      </w:r>
      <w:r>
        <w:rPr>
          <w:rFonts w:eastAsia="仿宋_GB2312"/>
          <w:sz w:val="32"/>
          <w:szCs w:val="32"/>
        </w:rPr>
        <w:t>政务服务网上公开</w:t>
      </w:r>
      <w:r>
        <w:rPr>
          <w:rFonts w:hint="eastAsia" w:eastAsia="仿宋_GB2312"/>
          <w:sz w:val="32"/>
          <w:szCs w:val="32"/>
        </w:rPr>
        <w:t>办理流程</w:t>
      </w:r>
      <w:r>
        <w:rPr>
          <w:rFonts w:eastAsia="仿宋_GB2312"/>
          <w:sz w:val="32"/>
          <w:szCs w:val="32"/>
        </w:rPr>
        <w:t>、公布咨询投诉电话接受群众的咨询和投诉，相关科室根据各自的情况，对实施的行政许可事项进行监管。安排专人负责</w:t>
      </w:r>
      <w:r>
        <w:rPr>
          <w:rFonts w:hint="eastAsia" w:eastAsia="仿宋_GB2312"/>
          <w:sz w:val="32"/>
          <w:szCs w:val="32"/>
          <w:lang w:val="en-US" w:eastAsia="zh-CN"/>
        </w:rPr>
        <w:t>受理</w:t>
      </w:r>
      <w:r>
        <w:rPr>
          <w:rFonts w:eastAsia="仿宋_GB2312"/>
          <w:sz w:val="32"/>
          <w:szCs w:val="32"/>
        </w:rPr>
        <w:t>广州</w:t>
      </w:r>
      <w:r>
        <w:rPr>
          <w:rFonts w:ascii="Times New Roman" w:hAnsi="Times New Roman" w:eastAsia="仿宋_GB2312" w:cs="Times New Roman"/>
          <w:sz w:val="32"/>
          <w:szCs w:val="32"/>
        </w:rPr>
        <w:t>12345</w:t>
      </w:r>
      <w:r>
        <w:rPr>
          <w:rFonts w:eastAsia="仿宋_GB2312"/>
          <w:sz w:val="32"/>
          <w:szCs w:val="32"/>
        </w:rPr>
        <w:t>政府服务热线</w:t>
      </w:r>
      <w:r>
        <w:rPr>
          <w:rFonts w:hint="eastAsia" w:eastAsia="仿宋_GB2312"/>
          <w:sz w:val="32"/>
          <w:szCs w:val="32"/>
          <w:lang w:val="en-US" w:eastAsia="zh-CN"/>
        </w:rPr>
        <w:t>系统转办事务</w:t>
      </w:r>
      <w:r>
        <w:rPr>
          <w:rFonts w:eastAsia="仿宋_GB2312"/>
          <w:sz w:val="32"/>
          <w:szCs w:val="32"/>
        </w:rPr>
        <w:t>，以便及时处理实施行政许可事项过程中被投诉举报的情况。</w:t>
      </w:r>
      <w:r>
        <w:rPr>
          <w:rFonts w:ascii="Times New Roman" w:hAnsi="Times New Roman" w:eastAsia="仿宋_GB2312" w:cs="Times New Roman"/>
          <w:sz w:val="32"/>
          <w:szCs w:val="32"/>
        </w:rPr>
        <w:t>2019</w:t>
      </w:r>
      <w:r>
        <w:rPr>
          <w:rFonts w:eastAsia="仿宋_GB2312"/>
          <w:sz w:val="32"/>
          <w:szCs w:val="32"/>
        </w:rPr>
        <w:t>年我局在审批事项办理过程</w:t>
      </w:r>
      <w:r>
        <w:rPr>
          <w:rFonts w:hint="eastAsia" w:eastAsia="仿宋_GB2312"/>
          <w:sz w:val="32"/>
          <w:szCs w:val="32"/>
        </w:rPr>
        <w:t>中</w:t>
      </w:r>
      <w:r>
        <w:rPr>
          <w:rFonts w:eastAsia="仿宋_GB2312"/>
          <w:sz w:val="32"/>
          <w:szCs w:val="32"/>
        </w:rPr>
        <w:t>没有发生被投诉举报的情况。</w:t>
      </w:r>
    </w:p>
    <w:p>
      <w:pPr>
        <w:keepNext w:val="0"/>
        <w:keepLines w:val="0"/>
        <w:pageBreakBefore w:val="0"/>
        <w:widowControl w:val="0"/>
        <w:kinsoku/>
        <w:wordWrap/>
        <w:overflowPunct/>
        <w:topLinePunct w:val="0"/>
        <w:autoSpaceDE/>
        <w:autoSpaceDN/>
        <w:bidi w:val="0"/>
        <w:adjustRightInd/>
        <w:spacing w:line="560" w:lineRule="exact"/>
        <w:ind w:firstLine="480" w:firstLineChars="150"/>
        <w:textAlignment w:val="auto"/>
        <w:rPr>
          <w:rFonts w:eastAsia="楷体_GB2312"/>
          <w:sz w:val="32"/>
          <w:szCs w:val="32"/>
        </w:rPr>
      </w:pPr>
      <w:r>
        <w:rPr>
          <w:rFonts w:hAnsi="楷体_GB2312" w:eastAsia="楷体_GB2312"/>
          <w:sz w:val="32"/>
          <w:szCs w:val="32"/>
        </w:rPr>
        <w:t>（四）实施效果情况</w:t>
      </w:r>
    </w:p>
    <w:p>
      <w:pPr>
        <w:keepNext w:val="0"/>
        <w:keepLines w:val="0"/>
        <w:pageBreakBefore w:val="0"/>
        <w:widowControl w:val="0"/>
        <w:numPr>
          <w:ilvl w:val="0"/>
          <w:numId w:val="0"/>
        </w:numPr>
        <w:kinsoku/>
        <w:wordWrap/>
        <w:overflowPunct/>
        <w:topLinePunct w:val="0"/>
        <w:autoSpaceDE/>
        <w:autoSpaceDN/>
        <w:bidi w:val="0"/>
        <w:adjustRightInd/>
        <w:spacing w:line="560" w:lineRule="exact"/>
        <w:ind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2019年我局行政许可实施事项已全部进驻海珠区政务服务中心，切实执行首问首接责任制、一次性告知制及限时办结制，加快了前方接件与后方办理的衔接，工作效率得到提升。持续开展电子化审批与网上预约，通过广东政务服务网，将行政许可和其他依申请事项在机构改革后及时梳理更新统一公示在实施清单列表，明确受理标准、办理流程、申请材料、设定依据、办结时限等信息，并实行网上预约、网上咨询、网上申请、网上审批和网上监督，90%以上企业业务实行了网上办理和预约服务。组建行业 QQ 群等方式，提供咨询服务和对到期业务的预提示。提出了行政审批“零滞留率”、“特事特办”、“绿色通道”等便民措施，深受到企业的广泛好评。</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eastAsia="楷体_GB2312"/>
          <w:sz w:val="32"/>
          <w:szCs w:val="32"/>
        </w:rPr>
      </w:pPr>
      <w:r>
        <w:rPr>
          <w:rFonts w:hAnsi="楷体_GB2312" w:eastAsia="楷体_GB2312"/>
          <w:sz w:val="32"/>
          <w:szCs w:val="32"/>
        </w:rPr>
        <w:t>（五）创新方式情况</w:t>
      </w:r>
    </w:p>
    <w:p>
      <w:pPr>
        <w:keepNext w:val="0"/>
        <w:keepLines w:val="0"/>
        <w:pageBreakBefore w:val="0"/>
        <w:widowControl w:val="0"/>
        <w:tabs>
          <w:tab w:val="left" w:pos="1560"/>
        </w:tabs>
        <w:kinsoku/>
        <w:wordWrap/>
        <w:overflowPunct/>
        <w:topLinePunct w:val="0"/>
        <w:autoSpaceDE/>
        <w:autoSpaceDN/>
        <w:bidi w:val="0"/>
        <w:adjustRightInd/>
        <w:spacing w:line="560" w:lineRule="exact"/>
        <w:ind w:firstLine="640" w:firstLineChars="200"/>
        <w:textAlignment w:val="auto"/>
        <w:rPr>
          <w:rFonts w:eastAsia="仿宋_GB2312"/>
          <w:sz w:val="32"/>
          <w:szCs w:val="32"/>
        </w:rPr>
      </w:pPr>
      <w:r>
        <w:rPr>
          <w:rFonts w:eastAsia="仿宋_GB2312"/>
          <w:sz w:val="32"/>
          <w:szCs w:val="32"/>
        </w:rPr>
        <w:t>我局高度重视依法行政和审批改革优化服务工作，主办科室积极研究提速措施，</w:t>
      </w:r>
      <w:r>
        <w:rPr>
          <w:rFonts w:hint="eastAsia" w:ascii="仿宋_GB2312" w:hAnsi="微软雅黑" w:eastAsia="仿宋_GB2312"/>
          <w:sz w:val="32"/>
          <w:szCs w:val="32"/>
          <w:lang w:val="en-US" w:eastAsia="zh-CN"/>
        </w:rPr>
        <w:t>不断</w:t>
      </w:r>
      <w:r>
        <w:rPr>
          <w:rFonts w:hint="eastAsia" w:ascii="仿宋_GB2312" w:eastAsia="仿宋_GB2312"/>
          <w:sz w:val="32"/>
          <w:szCs w:val="32"/>
        </w:rPr>
        <w:t>优化流程、精简环节，缩短审批时限，“马上就办”、“容缺受理”、“最多跑一次”等指标均已达到或超过省、市部门对审批工作的要求。</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b w:val="0"/>
          <w:bCs w:val="0"/>
          <w:sz w:val="32"/>
          <w:szCs w:val="32"/>
          <w:lang w:val="en-US" w:eastAsia="zh-CN"/>
        </w:rPr>
      </w:pPr>
      <w:r>
        <w:rPr>
          <w:rFonts w:hint="eastAsia" w:eastAsia="仿宋_GB2312"/>
          <w:b/>
          <w:bCs/>
          <w:sz w:val="32"/>
          <w:szCs w:val="32"/>
          <w:lang w:val="en-US" w:eastAsia="zh-CN"/>
        </w:rPr>
        <w:t>一是</w:t>
      </w:r>
      <w:r>
        <w:rPr>
          <w:rFonts w:hint="eastAsia" w:ascii="仿宋_GB2312" w:hAnsi="仿宋_GB2312" w:eastAsia="仿宋_GB2312" w:cs="仿宋_GB2312"/>
          <w:b w:val="0"/>
          <w:bCs w:val="0"/>
          <w:sz w:val="32"/>
          <w:szCs w:val="32"/>
          <w:lang w:val="en-US" w:eastAsia="zh-CN"/>
        </w:rPr>
        <w:t>明确规范行政许可工作流程。</w:t>
      </w:r>
      <w:r>
        <w:rPr>
          <w:rFonts w:eastAsia="仿宋_GB2312"/>
          <w:sz w:val="32"/>
          <w:szCs w:val="32"/>
        </w:rPr>
        <w:t>根据我局的行政许可事项</w:t>
      </w:r>
      <w:r>
        <w:rPr>
          <w:rFonts w:hint="eastAsia" w:eastAsia="仿宋_GB2312"/>
          <w:sz w:val="32"/>
          <w:szCs w:val="32"/>
        </w:rPr>
        <w:t>，</w:t>
      </w:r>
      <w:r>
        <w:rPr>
          <w:rFonts w:eastAsia="仿宋_GB2312"/>
          <w:sz w:val="32"/>
          <w:szCs w:val="32"/>
        </w:rPr>
        <w:t>并结合省政务服务事项具体实施要求，明确梳理了政务服务事项的实施清单要素，实现实施编码、事项名称、子项拆分、事项类型、设定依据、办理流程、办理时限、提交材料及表单等内容</w:t>
      </w:r>
      <w:r>
        <w:rPr>
          <w:rFonts w:hint="eastAsia" w:eastAsia="仿宋_GB2312"/>
          <w:sz w:val="32"/>
          <w:szCs w:val="32"/>
        </w:rPr>
        <w:t>“</w:t>
      </w:r>
      <w:r>
        <w:rPr>
          <w:rFonts w:eastAsia="仿宋_GB2312"/>
          <w:sz w:val="32"/>
          <w:szCs w:val="32"/>
        </w:rPr>
        <w:t>十统一</w:t>
      </w:r>
      <w:r>
        <w:rPr>
          <w:rFonts w:hint="eastAsia" w:eastAsia="仿宋_GB2312"/>
          <w:sz w:val="32"/>
          <w:szCs w:val="32"/>
        </w:rPr>
        <w:t>”</w:t>
      </w:r>
      <w:r>
        <w:rPr>
          <w:rFonts w:eastAsia="仿宋_GB2312"/>
          <w:sz w:val="32"/>
          <w:szCs w:val="32"/>
        </w:rPr>
        <w:t>，</w:t>
      </w:r>
      <w:r>
        <w:rPr>
          <w:rFonts w:hint="eastAsia" w:eastAsia="仿宋_GB2312"/>
          <w:sz w:val="32"/>
          <w:szCs w:val="32"/>
          <w:lang w:val="en-US" w:eastAsia="zh-CN"/>
        </w:rPr>
        <w:t>并完成在新政务服务标准化系统的事项切换和完善，</w:t>
      </w:r>
      <w:r>
        <w:rPr>
          <w:rFonts w:hint="eastAsia" w:ascii="仿宋_GB2312" w:hAnsi="仿宋_GB2312" w:eastAsia="仿宋_GB2312" w:cs="仿宋_GB2312"/>
          <w:b w:val="0"/>
          <w:bCs w:val="0"/>
          <w:sz w:val="32"/>
          <w:szCs w:val="32"/>
          <w:lang w:val="en-US" w:eastAsia="zh-CN"/>
        </w:rPr>
        <w:t>及时在广东政务服务网公示业务办理流程、设定依据等，并严格按照《行政许可法》相关要求，依法依规开展行政许可审批工作。</w:t>
      </w:r>
    </w:p>
    <w:p>
      <w:pPr>
        <w:keepNext w:val="0"/>
        <w:keepLines w:val="0"/>
        <w:pageBreakBefore w:val="0"/>
        <w:widowControl w:val="0"/>
        <w:kinsoku/>
        <w:wordWrap/>
        <w:overflowPunct/>
        <w:topLinePunct w:val="0"/>
        <w:autoSpaceDE/>
        <w:autoSpaceDN/>
        <w:bidi w:val="0"/>
        <w:adjustRightInd/>
        <w:spacing w:line="520" w:lineRule="exact"/>
        <w:ind w:firstLine="643"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b w:val="0"/>
          <w:bCs w:val="0"/>
          <w:sz w:val="32"/>
          <w:szCs w:val="32"/>
          <w:lang w:val="en-US" w:eastAsia="zh-CN"/>
        </w:rPr>
        <w:t>加强法律法规学习，提高依法行政能力，组织全局参加公务员网络大学堂法律专题的学习，要求有关人员必须参加规定的学法考试并达到满分。</w:t>
      </w:r>
    </w:p>
    <w:p>
      <w:pPr>
        <w:spacing w:line="560" w:lineRule="exact"/>
        <w:ind w:firstLine="320" w:firstLineChars="100"/>
        <w:rPr>
          <w:rFonts w:hint="eastAsia" w:ascii="黑体" w:hAnsi="黑体" w:eastAsia="黑体" w:cs="黑体"/>
          <w:sz w:val="32"/>
          <w:szCs w:val="32"/>
          <w:highlight w:val="none"/>
          <w:lang w:val="en-US" w:eastAsia="zh-CN"/>
        </w:rPr>
      </w:pPr>
      <w:r>
        <w:rPr>
          <w:rFonts w:hint="eastAsia" w:ascii="仿宋_GB2312" w:hAnsi="仿宋_GB2312" w:eastAsia="仿宋_GB2312" w:cs="仿宋_GB2312"/>
          <w:b w:val="0"/>
          <w:bCs w:val="0"/>
          <w:sz w:val="32"/>
          <w:szCs w:val="32"/>
          <w:lang w:val="en-US" w:eastAsia="zh-CN"/>
        </w:rPr>
        <w:t xml:space="preserve">  </w:t>
      </w:r>
      <w:r>
        <w:rPr>
          <w:rFonts w:hint="eastAsia" w:ascii="黑体" w:hAnsi="黑体" w:eastAsia="黑体" w:cs="黑体"/>
          <w:sz w:val="32"/>
          <w:szCs w:val="32"/>
          <w:highlight w:val="none"/>
          <w:lang w:val="en-US" w:eastAsia="zh-CN"/>
        </w:rPr>
        <w:t>二、下一步工作措施</w:t>
      </w:r>
    </w:p>
    <w:p>
      <w:pPr>
        <w:spacing w:line="560" w:lineRule="exact"/>
        <w:ind w:firstLine="640" w:firstLineChars="200"/>
        <w:rPr>
          <w:rFonts w:hint="eastAsia" w:ascii="仿宋" w:hAnsi="仿宋" w:eastAsia="仿宋" w:cs="仿宋"/>
          <w:sz w:val="32"/>
          <w:szCs w:val="32"/>
          <w:highlight w:val="none"/>
          <w:lang w:val="en-US" w:eastAsia="zh-CN"/>
        </w:rPr>
      </w:pPr>
      <w:r>
        <w:rPr>
          <w:rFonts w:hint="eastAsia" w:ascii="楷体" w:hAnsi="楷体" w:eastAsia="楷体" w:cs="楷体"/>
          <w:sz w:val="32"/>
          <w:szCs w:val="32"/>
          <w:highlight w:val="none"/>
        </w:rPr>
        <w:t>（</w:t>
      </w:r>
      <w:r>
        <w:rPr>
          <w:rFonts w:hint="eastAsia" w:ascii="楷体" w:hAnsi="楷体" w:eastAsia="楷体" w:cs="楷体"/>
          <w:sz w:val="32"/>
          <w:szCs w:val="32"/>
          <w:highlight w:val="none"/>
          <w:lang w:val="en-US" w:eastAsia="zh-CN"/>
        </w:rPr>
        <w:t>一</w:t>
      </w:r>
      <w:r>
        <w:rPr>
          <w:rFonts w:hint="eastAsia" w:ascii="楷体" w:hAnsi="楷体" w:eastAsia="楷体" w:cs="楷体"/>
          <w:sz w:val="32"/>
          <w:szCs w:val="32"/>
          <w:highlight w:val="none"/>
        </w:rPr>
        <w:t>）</w:t>
      </w:r>
      <w:r>
        <w:rPr>
          <w:rFonts w:hint="eastAsia" w:ascii="楷体" w:hAnsi="楷体" w:eastAsia="楷体" w:cs="楷体"/>
          <w:sz w:val="32"/>
          <w:szCs w:val="32"/>
          <w:highlight w:val="none"/>
          <w:lang w:val="en-US" w:eastAsia="zh-CN"/>
        </w:rPr>
        <w:t>动态调整事项。</w:t>
      </w:r>
      <w:r>
        <w:rPr>
          <w:rFonts w:hint="eastAsia" w:ascii="仿宋_GB2312" w:hAnsi="仿宋_GB2312" w:eastAsia="仿宋_GB2312" w:cs="仿宋_GB2312"/>
          <w:sz w:val="32"/>
          <w:szCs w:val="32"/>
          <w:highlight w:val="none"/>
          <w:lang w:val="en-US" w:eastAsia="zh-CN"/>
        </w:rPr>
        <w:t>我局将根据相关法律法规的调整及上级部门工作要求，及时修改完善许可事项办事指南,动态调整权力清单事项并及时发布。</w:t>
      </w:r>
    </w:p>
    <w:p>
      <w:pPr>
        <w:spacing w:line="560" w:lineRule="exact"/>
        <w:ind w:firstLine="640" w:firstLineChars="200"/>
        <w:rPr>
          <w:rFonts w:hint="eastAsia" w:ascii="仿宋_GB2312" w:hAnsi="仿宋_GB2312" w:eastAsia="仿宋_GB2312" w:cs="仿宋_GB2312"/>
          <w:sz w:val="32"/>
          <w:szCs w:val="32"/>
          <w:highlight w:val="none"/>
          <w:lang w:val="en-US" w:eastAsia="zh-CN"/>
        </w:rPr>
      </w:pPr>
      <w:r>
        <w:rPr>
          <w:rFonts w:hint="eastAsia" w:ascii="楷体" w:hAnsi="楷体" w:eastAsia="楷体" w:cs="楷体"/>
          <w:sz w:val="32"/>
          <w:szCs w:val="32"/>
          <w:highlight w:val="none"/>
        </w:rPr>
        <w:t>（</w:t>
      </w:r>
      <w:r>
        <w:rPr>
          <w:rFonts w:hint="eastAsia" w:ascii="楷体" w:hAnsi="楷体" w:eastAsia="楷体" w:cs="楷体"/>
          <w:sz w:val="32"/>
          <w:szCs w:val="32"/>
          <w:highlight w:val="none"/>
          <w:lang w:val="en-US" w:eastAsia="zh-CN"/>
        </w:rPr>
        <w:t>二</w:t>
      </w:r>
      <w:r>
        <w:rPr>
          <w:rFonts w:hint="eastAsia" w:ascii="楷体" w:hAnsi="楷体" w:eastAsia="楷体" w:cs="楷体"/>
          <w:sz w:val="32"/>
          <w:szCs w:val="32"/>
          <w:highlight w:val="none"/>
        </w:rPr>
        <w:t>）</w:t>
      </w:r>
      <w:r>
        <w:rPr>
          <w:rFonts w:hint="eastAsia" w:ascii="楷体" w:hAnsi="楷体" w:eastAsia="楷体" w:cs="楷体"/>
          <w:sz w:val="32"/>
          <w:szCs w:val="32"/>
          <w:highlight w:val="none"/>
          <w:lang w:val="en-US" w:eastAsia="zh-CN"/>
        </w:rPr>
        <w:t>加强监督监管。</w:t>
      </w:r>
      <w:r>
        <w:rPr>
          <w:rFonts w:hint="eastAsia" w:ascii="仿宋_GB2312" w:hAnsi="仿宋_GB2312" w:eastAsia="仿宋_GB2312" w:cs="仿宋_GB2312"/>
          <w:sz w:val="32"/>
          <w:szCs w:val="32"/>
          <w:highlight w:val="none"/>
          <w:lang w:val="en-US" w:eastAsia="zh-CN"/>
        </w:rPr>
        <w:t>加大对审批流程和关键环节监察力度,加强行政许可事项的事中事后监管工作。</w:t>
      </w:r>
    </w:p>
    <w:p>
      <w:pPr>
        <w:spacing w:line="560" w:lineRule="exact"/>
        <w:ind w:firstLine="640" w:firstLineChars="200"/>
        <w:rPr>
          <w:rFonts w:hint="eastAsia" w:ascii="仿宋_GB2312" w:hAnsi="仿宋_GB2312" w:eastAsia="仿宋_GB2312" w:cs="仿宋_GB2312"/>
          <w:sz w:val="32"/>
          <w:szCs w:val="32"/>
          <w:highlight w:val="none"/>
          <w:lang w:val="en-US" w:eastAsia="zh-CN"/>
        </w:rPr>
      </w:pPr>
    </w:p>
    <w:p>
      <w:pPr>
        <w:spacing w:line="560" w:lineRule="exact"/>
        <w:ind w:right="11"/>
        <w:rPr>
          <w:rFonts w:hint="eastAsia" w:ascii="仿宋_GB2312" w:hAnsi="仿宋_GB2312" w:eastAsia="仿宋_GB2312" w:cs="仿宋_GB2312"/>
          <w:sz w:val="32"/>
          <w:szCs w:val="32"/>
          <w:lang w:val="en-US" w:eastAsia="zh-CN"/>
        </w:rPr>
      </w:pPr>
      <w:r>
        <w:rPr>
          <w:rFonts w:hint="eastAsia" w:ascii="黑体" w:eastAsia="黑体"/>
          <w:sz w:val="32"/>
          <w:szCs w:val="32"/>
          <w:lang w:val="en-US" w:eastAsia="zh-CN"/>
        </w:rPr>
        <w:t xml:space="preserve">                                </w:t>
      </w:r>
      <w:r>
        <w:rPr>
          <w:rFonts w:hint="eastAsia" w:ascii="仿宋_GB2312" w:hAnsi="仿宋_GB2312" w:eastAsia="仿宋_GB2312" w:cs="仿宋_GB2312"/>
          <w:sz w:val="32"/>
          <w:szCs w:val="32"/>
          <w:lang w:val="en-US" w:eastAsia="zh-CN"/>
        </w:rPr>
        <w:t xml:space="preserve"> 海珠区科工商信局</w:t>
      </w:r>
    </w:p>
    <w:p>
      <w:pPr>
        <w:spacing w:line="560" w:lineRule="exact"/>
        <w:ind w:firstLine="5120" w:firstLineChars="1600"/>
        <w:jc w:val="both"/>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highlight w:val="none"/>
          <w:lang w:val="en-US" w:eastAsia="zh-CN"/>
        </w:rPr>
        <w:t>2020年3月30日</w:t>
      </w:r>
    </w:p>
    <w:p>
      <w:pPr>
        <w:spacing w:line="640" w:lineRule="exact"/>
        <w:ind w:right="11"/>
        <w:rPr>
          <w:rFonts w:ascii="仿宋_GB2312" w:eastAsia="仿宋_GB2312"/>
          <w:sz w:val="32"/>
          <w:szCs w:val="32"/>
        </w:rPr>
      </w:pPr>
    </w:p>
    <w:sectPr>
      <w:footerReference r:id="rId3" w:type="default"/>
      <w:footerReference r:id="rId4" w:type="even"/>
      <w:pgSz w:w="11906" w:h="16838"/>
      <w:pgMar w:top="2098" w:right="1474" w:bottom="1985" w:left="1588" w:header="851" w:footer="992" w:gutter="0"/>
      <w:pgNumType w:fmt="numberInDash"/>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058639"/>
      <w:docPartObj>
        <w:docPartGallery w:val="autotext"/>
      </w:docPartObj>
    </w:sdtPr>
    <w:sdtEndPr>
      <w:rPr>
        <w:rFonts w:ascii="宋体" w:hAnsi="宋体" w:eastAsia="宋体"/>
        <w:sz w:val="28"/>
        <w:szCs w:val="28"/>
      </w:rPr>
    </w:sdtEndPr>
    <w:sdtContent>
      <w:p>
        <w:pPr>
          <w:pStyle w:val="3"/>
          <w:jc w:val="right"/>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3 -</w:t>
        </w:r>
        <w:r>
          <w:rPr>
            <w:rFonts w:ascii="宋体" w:hAnsi="宋体" w:eastAsia="宋体"/>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058645"/>
      <w:docPartObj>
        <w:docPartGallery w:val="autotext"/>
      </w:docPartObj>
    </w:sdtPr>
    <w:sdtEndPr>
      <w:rPr>
        <w:rFonts w:ascii="宋体" w:hAnsi="宋体" w:eastAsia="宋体"/>
        <w:sz w:val="28"/>
        <w:szCs w:val="28"/>
      </w:rPr>
    </w:sdtEndPr>
    <w:sdtContent>
      <w:p>
        <w:pPr>
          <w:pStyle w:val="3"/>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2 -</w:t>
        </w:r>
        <w:r>
          <w:rPr>
            <w:rFonts w:ascii="宋体" w:hAnsi="宋体" w:eastAsia="宋体"/>
            <w:sz w:val="28"/>
            <w:szCs w:val="28"/>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ABF671"/>
    <w:multiLevelType w:val="singleLevel"/>
    <w:tmpl w:val="58ABF671"/>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723"/>
    <w:rsid w:val="00013BD7"/>
    <w:rsid w:val="00030494"/>
    <w:rsid w:val="00054C57"/>
    <w:rsid w:val="00071F92"/>
    <w:rsid w:val="00081EAC"/>
    <w:rsid w:val="0008525F"/>
    <w:rsid w:val="000964CB"/>
    <w:rsid w:val="000B6C9B"/>
    <w:rsid w:val="000B75F3"/>
    <w:rsid w:val="000C40B3"/>
    <w:rsid w:val="000E2E64"/>
    <w:rsid w:val="000E4A65"/>
    <w:rsid w:val="000F030D"/>
    <w:rsid w:val="0011612A"/>
    <w:rsid w:val="00116B9D"/>
    <w:rsid w:val="0012500B"/>
    <w:rsid w:val="0013357A"/>
    <w:rsid w:val="001939D0"/>
    <w:rsid w:val="001D2734"/>
    <w:rsid w:val="001D5887"/>
    <w:rsid w:val="001F0C51"/>
    <w:rsid w:val="001F4472"/>
    <w:rsid w:val="00204B51"/>
    <w:rsid w:val="00213F8F"/>
    <w:rsid w:val="00226C2F"/>
    <w:rsid w:val="00255AFD"/>
    <w:rsid w:val="00270B08"/>
    <w:rsid w:val="00285A71"/>
    <w:rsid w:val="002A43BA"/>
    <w:rsid w:val="002B590E"/>
    <w:rsid w:val="002B7445"/>
    <w:rsid w:val="002E639A"/>
    <w:rsid w:val="00315BA8"/>
    <w:rsid w:val="00315EE4"/>
    <w:rsid w:val="00325459"/>
    <w:rsid w:val="003336AE"/>
    <w:rsid w:val="00337088"/>
    <w:rsid w:val="00342004"/>
    <w:rsid w:val="00342933"/>
    <w:rsid w:val="00352265"/>
    <w:rsid w:val="00355EED"/>
    <w:rsid w:val="00365284"/>
    <w:rsid w:val="00367A71"/>
    <w:rsid w:val="00387C01"/>
    <w:rsid w:val="003912AF"/>
    <w:rsid w:val="00392171"/>
    <w:rsid w:val="00396E67"/>
    <w:rsid w:val="003A5350"/>
    <w:rsid w:val="003A6537"/>
    <w:rsid w:val="003D420E"/>
    <w:rsid w:val="003D4E58"/>
    <w:rsid w:val="003E2C27"/>
    <w:rsid w:val="00407242"/>
    <w:rsid w:val="0041047F"/>
    <w:rsid w:val="00412693"/>
    <w:rsid w:val="004168C1"/>
    <w:rsid w:val="00435A48"/>
    <w:rsid w:val="00453AFB"/>
    <w:rsid w:val="00467564"/>
    <w:rsid w:val="00467895"/>
    <w:rsid w:val="00471B86"/>
    <w:rsid w:val="004834DB"/>
    <w:rsid w:val="00484BD7"/>
    <w:rsid w:val="0048613A"/>
    <w:rsid w:val="0052584B"/>
    <w:rsid w:val="005415C1"/>
    <w:rsid w:val="00560BD5"/>
    <w:rsid w:val="00565E9C"/>
    <w:rsid w:val="00566F04"/>
    <w:rsid w:val="00575798"/>
    <w:rsid w:val="00577263"/>
    <w:rsid w:val="005B1F6A"/>
    <w:rsid w:val="005B2599"/>
    <w:rsid w:val="005D224D"/>
    <w:rsid w:val="005D2C21"/>
    <w:rsid w:val="006019D8"/>
    <w:rsid w:val="00623DD5"/>
    <w:rsid w:val="006344E6"/>
    <w:rsid w:val="006370C7"/>
    <w:rsid w:val="006435CF"/>
    <w:rsid w:val="006616C6"/>
    <w:rsid w:val="0067288B"/>
    <w:rsid w:val="00673DAD"/>
    <w:rsid w:val="00676087"/>
    <w:rsid w:val="00686764"/>
    <w:rsid w:val="006949B9"/>
    <w:rsid w:val="00695DFA"/>
    <w:rsid w:val="00696999"/>
    <w:rsid w:val="006C23BE"/>
    <w:rsid w:val="006D0361"/>
    <w:rsid w:val="006E749E"/>
    <w:rsid w:val="00711CA8"/>
    <w:rsid w:val="00723240"/>
    <w:rsid w:val="00754D8C"/>
    <w:rsid w:val="00777639"/>
    <w:rsid w:val="00784FF8"/>
    <w:rsid w:val="00792AFC"/>
    <w:rsid w:val="007C205D"/>
    <w:rsid w:val="007E2F72"/>
    <w:rsid w:val="007E487D"/>
    <w:rsid w:val="00802CDF"/>
    <w:rsid w:val="0081681A"/>
    <w:rsid w:val="00820649"/>
    <w:rsid w:val="00827322"/>
    <w:rsid w:val="00863D46"/>
    <w:rsid w:val="008703A9"/>
    <w:rsid w:val="00874FC4"/>
    <w:rsid w:val="00895D14"/>
    <w:rsid w:val="008B5308"/>
    <w:rsid w:val="008C164A"/>
    <w:rsid w:val="008C5721"/>
    <w:rsid w:val="008C6828"/>
    <w:rsid w:val="008D60E4"/>
    <w:rsid w:val="009020DB"/>
    <w:rsid w:val="00904EA0"/>
    <w:rsid w:val="00910532"/>
    <w:rsid w:val="00913E92"/>
    <w:rsid w:val="00916140"/>
    <w:rsid w:val="009167B5"/>
    <w:rsid w:val="00927803"/>
    <w:rsid w:val="00951D20"/>
    <w:rsid w:val="00952DFC"/>
    <w:rsid w:val="009B34E8"/>
    <w:rsid w:val="009D4255"/>
    <w:rsid w:val="009D6D6B"/>
    <w:rsid w:val="009F5F26"/>
    <w:rsid w:val="00A03949"/>
    <w:rsid w:val="00A25D91"/>
    <w:rsid w:val="00A41512"/>
    <w:rsid w:val="00A53094"/>
    <w:rsid w:val="00A557F8"/>
    <w:rsid w:val="00A63751"/>
    <w:rsid w:val="00A66C18"/>
    <w:rsid w:val="00A7202C"/>
    <w:rsid w:val="00A86E15"/>
    <w:rsid w:val="00AA5C79"/>
    <w:rsid w:val="00AB00F0"/>
    <w:rsid w:val="00AD2FCE"/>
    <w:rsid w:val="00AE1799"/>
    <w:rsid w:val="00AF372B"/>
    <w:rsid w:val="00B14351"/>
    <w:rsid w:val="00B266D3"/>
    <w:rsid w:val="00B43E29"/>
    <w:rsid w:val="00B470F5"/>
    <w:rsid w:val="00B52FE8"/>
    <w:rsid w:val="00B66B60"/>
    <w:rsid w:val="00B707C4"/>
    <w:rsid w:val="00B77873"/>
    <w:rsid w:val="00B82174"/>
    <w:rsid w:val="00B91957"/>
    <w:rsid w:val="00BA753A"/>
    <w:rsid w:val="00BB67E5"/>
    <w:rsid w:val="00BD03EF"/>
    <w:rsid w:val="00BD2FDF"/>
    <w:rsid w:val="00BD632C"/>
    <w:rsid w:val="00BD687A"/>
    <w:rsid w:val="00BE093B"/>
    <w:rsid w:val="00BE32AD"/>
    <w:rsid w:val="00BE5AAD"/>
    <w:rsid w:val="00BE6DD4"/>
    <w:rsid w:val="00BF1ED6"/>
    <w:rsid w:val="00BF7EDC"/>
    <w:rsid w:val="00C021C1"/>
    <w:rsid w:val="00C027FA"/>
    <w:rsid w:val="00C03A97"/>
    <w:rsid w:val="00C16D50"/>
    <w:rsid w:val="00C208A1"/>
    <w:rsid w:val="00C41E79"/>
    <w:rsid w:val="00C42EBC"/>
    <w:rsid w:val="00C5381C"/>
    <w:rsid w:val="00C738EF"/>
    <w:rsid w:val="00C7430F"/>
    <w:rsid w:val="00C74548"/>
    <w:rsid w:val="00C90B7A"/>
    <w:rsid w:val="00CB49F6"/>
    <w:rsid w:val="00CB4F02"/>
    <w:rsid w:val="00CB6168"/>
    <w:rsid w:val="00CC06E2"/>
    <w:rsid w:val="00CD1134"/>
    <w:rsid w:val="00CE1531"/>
    <w:rsid w:val="00CF3DD5"/>
    <w:rsid w:val="00CF6037"/>
    <w:rsid w:val="00D04204"/>
    <w:rsid w:val="00D16925"/>
    <w:rsid w:val="00D34033"/>
    <w:rsid w:val="00D454DD"/>
    <w:rsid w:val="00D52638"/>
    <w:rsid w:val="00D94C6B"/>
    <w:rsid w:val="00D9657C"/>
    <w:rsid w:val="00DB0AE4"/>
    <w:rsid w:val="00DC06F4"/>
    <w:rsid w:val="00DD134C"/>
    <w:rsid w:val="00DE0B6D"/>
    <w:rsid w:val="00DF1A73"/>
    <w:rsid w:val="00E03DA4"/>
    <w:rsid w:val="00E15687"/>
    <w:rsid w:val="00E40FBD"/>
    <w:rsid w:val="00E46524"/>
    <w:rsid w:val="00E72F15"/>
    <w:rsid w:val="00E73969"/>
    <w:rsid w:val="00EB363F"/>
    <w:rsid w:val="00EC345B"/>
    <w:rsid w:val="00EF226A"/>
    <w:rsid w:val="00EF2DDD"/>
    <w:rsid w:val="00EF4A65"/>
    <w:rsid w:val="00F075AF"/>
    <w:rsid w:val="00F14DD1"/>
    <w:rsid w:val="00F427F1"/>
    <w:rsid w:val="00F47B0F"/>
    <w:rsid w:val="00F56AE7"/>
    <w:rsid w:val="00F62B3D"/>
    <w:rsid w:val="00F662F0"/>
    <w:rsid w:val="00F67E3A"/>
    <w:rsid w:val="00F7138C"/>
    <w:rsid w:val="00F840BC"/>
    <w:rsid w:val="00F867F4"/>
    <w:rsid w:val="00FA06A5"/>
    <w:rsid w:val="00FB0F92"/>
    <w:rsid w:val="00FC1E7E"/>
    <w:rsid w:val="00FD2478"/>
    <w:rsid w:val="00FE3723"/>
    <w:rsid w:val="00FE37E9"/>
    <w:rsid w:val="03AC389B"/>
    <w:rsid w:val="15A92053"/>
    <w:rsid w:val="1ED6706B"/>
    <w:rsid w:val="2B5208BA"/>
    <w:rsid w:val="40CE4F70"/>
    <w:rsid w:val="46896930"/>
    <w:rsid w:val="4CBE6D01"/>
    <w:rsid w:val="500F26CD"/>
    <w:rsid w:val="54F005DD"/>
    <w:rsid w:val="6D9615D1"/>
    <w:rsid w:val="79A93E08"/>
    <w:rsid w:val="79ED05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header"/>
    <w:basedOn w:val="1"/>
    <w:link w:val="8"/>
    <w:unhideWhenUsed/>
    <w:uiPriority w:val="0"/>
    <w:pPr>
      <w:tabs>
        <w:tab w:val="center" w:pos="4153"/>
        <w:tab w:val="right" w:pos="8306"/>
      </w:tabs>
      <w:snapToGrid w:val="0"/>
      <w:jc w:val="center"/>
    </w:pPr>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character" w:styleId="6">
    <w:name w:val="page number"/>
    <w:basedOn w:val="5"/>
    <w:uiPriority w:val="0"/>
  </w:style>
  <w:style w:type="character" w:styleId="7">
    <w:name w:val="FollowedHyperlink"/>
    <w:basedOn w:val="5"/>
    <w:unhideWhenUsed/>
    <w:qFormat/>
    <w:uiPriority w:val="99"/>
    <w:rPr>
      <w:color w:val="0000FF"/>
      <w:u w:val="single"/>
    </w:rPr>
  </w:style>
  <w:style w:type="character" w:customStyle="1" w:styleId="8">
    <w:name w:val="页眉 Char"/>
    <w:basedOn w:val="5"/>
    <w:link w:val="2"/>
    <w:uiPriority w:val="0"/>
    <w:rPr>
      <w:sz w:val="18"/>
      <w:szCs w:val="18"/>
    </w:rPr>
  </w:style>
  <w:style w:type="character" w:customStyle="1" w:styleId="9">
    <w:name w:val="页脚 Char"/>
    <w:basedOn w:val="5"/>
    <w:link w:val="3"/>
    <w:uiPriority w:val="99"/>
    <w:rPr>
      <w:sz w:val="18"/>
      <w:szCs w:val="18"/>
    </w:rPr>
  </w:style>
  <w:style w:type="paragraph" w:customStyle="1" w:styleId="10">
    <w:name w:val="Char Char Char Char Char Char1 Char"/>
    <w:basedOn w:val="1"/>
    <w:uiPriority w:val="0"/>
    <w:pPr>
      <w:widowControl/>
      <w:spacing w:after="160" w:line="240" w:lineRule="exact"/>
      <w:jc w:val="left"/>
    </w:pPr>
    <w:rPr>
      <w:rFonts w:ascii="Verdana" w:hAnsi="Verdana" w:eastAsia="仿宋_GB2312" w:cs="Times New Roman"/>
      <w:kern w:val="0"/>
      <w:sz w:val="24"/>
      <w:szCs w:val="20"/>
      <w:lang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272</Words>
  <Characters>1555</Characters>
  <Lines>12</Lines>
  <Paragraphs>3</Paragraphs>
  <TotalTime>0</TotalTime>
  <ScaleCrop>false</ScaleCrop>
  <LinksUpToDate>false</LinksUpToDate>
  <CharactersWithSpaces>1824</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2020-03-30T06:04:00Z</dcterms:created>
  <dc:creator>陈伟豪1490577443249</dc:creator>
  <cp:lastModifiedBy>咚咚咚</cp:lastModifiedBy>
  <cp:lastPrinted>2020-03-30T03:35:00Z</cp:lastPrinted>
  <dcterms:modified xsi:type="dcterms:W3CDTF">2020-04-01T01:58:34Z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