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</w:rPr>
        <w:t>办理</w:t>
      </w:r>
      <w:r>
        <w:rPr>
          <w:rFonts w:hint="eastAsia" w:ascii="宋体" w:hAnsi="宋体"/>
          <w:b/>
          <w:color w:val="auto"/>
          <w:sz w:val="44"/>
          <w:szCs w:val="44"/>
          <w:lang w:eastAsia="zh-CN"/>
        </w:rPr>
        <w:t>仲裁审查确认</w:t>
      </w:r>
      <w:r>
        <w:rPr>
          <w:rFonts w:hint="eastAsia" w:ascii="宋体" w:hAnsi="宋体"/>
          <w:b/>
          <w:color w:val="auto"/>
          <w:sz w:val="44"/>
          <w:szCs w:val="44"/>
        </w:rPr>
        <w:t>须知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一、前提条件：劳动者与用人单位就《中华人民共和国劳动争议调解仲裁法》第二条规定的劳动争议、在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调解组织主持下</w:t>
      </w:r>
      <w:r>
        <w:rPr>
          <w:rFonts w:hint="eastAsia" w:ascii="仿宋_GB2312" w:eastAsia="仿宋_GB2312"/>
          <w:color w:val="auto"/>
          <w:sz w:val="30"/>
          <w:szCs w:val="30"/>
        </w:rPr>
        <w:t>达成一致调解意向，并且就争议事项签订书面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调解</w:t>
      </w:r>
      <w:r>
        <w:rPr>
          <w:rFonts w:hint="eastAsia" w:ascii="仿宋_GB2312" w:eastAsia="仿宋_GB2312"/>
          <w:color w:val="auto"/>
          <w:sz w:val="30"/>
          <w:szCs w:val="30"/>
        </w:rPr>
        <w:t>协议书。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二、办理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仲裁审查确认</w:t>
      </w:r>
      <w:r>
        <w:rPr>
          <w:rFonts w:hint="eastAsia" w:ascii="仿宋_GB2312" w:eastAsia="仿宋_GB2312"/>
          <w:color w:val="auto"/>
          <w:sz w:val="30"/>
          <w:szCs w:val="30"/>
        </w:rPr>
        <w:t>调解书前，劳动者与用人单位应当先行填写《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仲裁审查确认</w:t>
      </w:r>
      <w:r>
        <w:rPr>
          <w:rFonts w:hint="eastAsia" w:ascii="仿宋_GB2312" w:eastAsia="仿宋_GB2312"/>
          <w:color w:val="auto"/>
          <w:sz w:val="30"/>
          <w:szCs w:val="30"/>
        </w:rPr>
        <w:t>申请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书</w:t>
      </w:r>
      <w:r>
        <w:rPr>
          <w:rFonts w:hint="eastAsia" w:ascii="仿宋_GB2312" w:eastAsia="仿宋_GB2312"/>
          <w:color w:val="auto"/>
          <w:sz w:val="30"/>
          <w:szCs w:val="30"/>
        </w:rPr>
        <w:t>》，并连同以下资料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交仲裁委员会</w:t>
      </w:r>
      <w:r>
        <w:rPr>
          <w:rFonts w:hint="eastAsia" w:ascii="仿宋_GB2312" w:eastAsia="仿宋_GB2312"/>
          <w:color w:val="auto"/>
          <w:sz w:val="30"/>
          <w:szCs w:val="30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-359" w:leftChars="-171" w:right="0" w:rightChars="0" w:firstLine="960" w:firstLineChars="320"/>
        <w:jc w:val="both"/>
        <w:textAlignment w:val="auto"/>
        <w:outlineLvl w:val="9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（一）用人单位需提供的资料：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0"/>
          <w:szCs w:val="30"/>
        </w:rPr>
        <w:t>1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.</w:t>
      </w:r>
      <w:r>
        <w:rPr>
          <w:rFonts w:hint="eastAsia" w:ascii="仿宋_GB2312" w:eastAsia="仿宋_GB2312"/>
          <w:color w:val="auto"/>
          <w:sz w:val="30"/>
          <w:szCs w:val="30"/>
        </w:rPr>
        <w:t>营业执照副本复印件；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0"/>
          <w:szCs w:val="30"/>
        </w:rPr>
        <w:t>2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.</w:t>
      </w:r>
      <w:r>
        <w:rPr>
          <w:rFonts w:hint="eastAsia" w:ascii="仿宋_GB2312" w:eastAsia="仿宋_GB2312"/>
          <w:color w:val="auto"/>
          <w:sz w:val="30"/>
          <w:szCs w:val="30"/>
        </w:rPr>
        <w:t>法定代表人身份证明书，加盖公章；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0"/>
          <w:szCs w:val="30"/>
        </w:rPr>
        <w:t>3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.</w:t>
      </w:r>
      <w:r>
        <w:rPr>
          <w:rFonts w:hint="eastAsia" w:ascii="仿宋_GB2312" w:eastAsia="仿宋_GB2312"/>
          <w:color w:val="auto"/>
          <w:sz w:val="30"/>
          <w:szCs w:val="30"/>
        </w:rPr>
        <w:t>授权委托书，加盖公章；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0"/>
          <w:szCs w:val="30"/>
        </w:rPr>
        <w:t>4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.</w:t>
      </w:r>
      <w:r>
        <w:rPr>
          <w:rFonts w:hint="eastAsia" w:ascii="仿宋_GB2312" w:eastAsia="仿宋_GB2312"/>
          <w:color w:val="auto"/>
          <w:sz w:val="30"/>
          <w:szCs w:val="30"/>
        </w:rPr>
        <w:t>委托代理人的公民身份证复印件；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0"/>
          <w:szCs w:val="30"/>
        </w:rPr>
        <w:t>5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.</w:t>
      </w:r>
      <w:r>
        <w:rPr>
          <w:rFonts w:hint="eastAsia" w:ascii="仿宋_GB2312" w:eastAsia="仿宋_GB2312"/>
          <w:color w:val="auto"/>
          <w:sz w:val="30"/>
          <w:szCs w:val="30"/>
        </w:rPr>
        <w:t>协议书以及证明协议内容的相关材料（如工作证、入职材料、社会保险记录、工资支付凭证、劳动合同等）；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594" w:firstLineChars="198"/>
        <w:jc w:val="both"/>
        <w:textAlignment w:val="auto"/>
        <w:outlineLvl w:val="9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（二）劳动者需提供的资料：公民身份证复印件。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三、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仲裁委员会在收</w:t>
      </w:r>
      <w:r>
        <w:rPr>
          <w:rFonts w:hint="eastAsia" w:ascii="仿宋_GB2312" w:eastAsia="仿宋_GB2312"/>
          <w:color w:val="auto"/>
          <w:sz w:val="30"/>
          <w:szCs w:val="30"/>
        </w:rPr>
        <w:t>到上述资料，经审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查</w:t>
      </w:r>
      <w:r>
        <w:rPr>
          <w:rFonts w:hint="eastAsia" w:ascii="仿宋_GB2312" w:eastAsia="仿宋_GB2312"/>
          <w:color w:val="auto"/>
          <w:sz w:val="30"/>
          <w:szCs w:val="30"/>
        </w:rPr>
        <w:t>，符合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仲裁审查确认受理</w:t>
      </w:r>
      <w:r>
        <w:rPr>
          <w:rFonts w:hint="eastAsia" w:ascii="仿宋_GB2312" w:eastAsia="仿宋_GB2312"/>
          <w:color w:val="auto"/>
          <w:sz w:val="30"/>
          <w:szCs w:val="30"/>
        </w:rPr>
        <w:t>条件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的</w:t>
      </w:r>
      <w:r>
        <w:rPr>
          <w:rFonts w:hint="eastAsia" w:ascii="仿宋_GB2312" w:eastAsia="仿宋_GB2312"/>
          <w:color w:val="auto"/>
          <w:sz w:val="30"/>
          <w:szCs w:val="30"/>
        </w:rPr>
        <w:t>，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可当场出具受理通知书，对于不能当场出具的，应出具收件回执。仲裁委根据审查确认的需要，可以通知双方当事人共同到场核实相关情况</w:t>
      </w:r>
      <w:r>
        <w:rPr>
          <w:rFonts w:hint="eastAsia" w:ascii="仿宋_GB2312" w:eastAsia="仿宋_GB2312"/>
          <w:color w:val="auto"/>
          <w:sz w:val="30"/>
          <w:szCs w:val="30"/>
        </w:rPr>
        <w:t>，劳动者本人以及用人单位的委托代理人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应按要求</w:t>
      </w:r>
      <w:r>
        <w:rPr>
          <w:rFonts w:hint="eastAsia" w:ascii="仿宋_GB2312" w:eastAsia="仿宋_GB2312"/>
          <w:color w:val="auto"/>
          <w:sz w:val="30"/>
          <w:szCs w:val="30"/>
        </w:rPr>
        <w:t>亲自携带各自公民身份证原件在约定时间办理。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四、温馨提示：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0"/>
          <w:szCs w:val="30"/>
        </w:rPr>
        <w:t>1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.</w:t>
      </w:r>
      <w:r>
        <w:rPr>
          <w:rFonts w:hint="eastAsia" w:ascii="仿宋_GB2312" w:eastAsia="仿宋_GB2312"/>
          <w:color w:val="auto"/>
          <w:sz w:val="30"/>
          <w:szCs w:val="30"/>
        </w:rPr>
        <w:t>劳动者或用人单位可向本委索取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调解</w:t>
      </w:r>
      <w:r>
        <w:rPr>
          <w:rFonts w:hint="eastAsia" w:ascii="仿宋_GB2312" w:eastAsia="仿宋_GB2312"/>
          <w:color w:val="auto"/>
          <w:sz w:val="30"/>
          <w:szCs w:val="30"/>
        </w:rPr>
        <w:t>协议书的样板以作格式参考；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0"/>
          <w:szCs w:val="30"/>
        </w:rPr>
        <w:t>2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.</w:t>
      </w:r>
      <w:r>
        <w:rPr>
          <w:rFonts w:hint="eastAsia" w:ascii="仿宋_GB2312" w:eastAsia="仿宋_GB2312"/>
          <w:color w:val="auto"/>
          <w:sz w:val="30"/>
          <w:szCs w:val="30"/>
        </w:rPr>
        <w:t>用人单位可向本委索取法定代表人身份证明书以及授权委托书填写、盖章；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0"/>
          <w:szCs w:val="30"/>
        </w:rPr>
        <w:t>3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.为加快仲裁审查确认的办理</w:t>
      </w:r>
      <w:r>
        <w:rPr>
          <w:rFonts w:hint="eastAsia" w:ascii="仿宋_GB2312" w:eastAsia="仿宋_GB2312"/>
          <w:color w:val="auto"/>
          <w:sz w:val="30"/>
          <w:szCs w:val="30"/>
        </w:rPr>
        <w:t>，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申请</w:t>
      </w:r>
      <w:r>
        <w:rPr>
          <w:rFonts w:hint="eastAsia" w:ascii="仿宋_GB2312" w:eastAsia="仿宋_GB2312"/>
          <w:color w:val="auto"/>
          <w:sz w:val="30"/>
          <w:szCs w:val="30"/>
        </w:rPr>
        <w:t>前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可先</w:t>
      </w:r>
      <w:r>
        <w:rPr>
          <w:rFonts w:hint="eastAsia" w:ascii="仿宋_GB2312" w:eastAsia="仿宋_GB2312"/>
          <w:color w:val="auto"/>
          <w:sz w:val="30"/>
          <w:szCs w:val="30"/>
        </w:rPr>
        <w:t>将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调解</w:t>
      </w:r>
      <w:r>
        <w:rPr>
          <w:rFonts w:hint="eastAsia" w:ascii="仿宋_GB2312" w:eastAsia="仿宋_GB2312"/>
          <w:color w:val="auto"/>
          <w:sz w:val="30"/>
          <w:szCs w:val="30"/>
        </w:rPr>
        <w:t>协议书以电子邮件的方式发给本委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进行预审查</w:t>
      </w:r>
      <w:r>
        <w:rPr>
          <w:rFonts w:hint="eastAsia" w:ascii="仿宋_GB2312" w:eastAsia="仿宋_GB2312"/>
          <w:color w:val="auto"/>
          <w:sz w:val="30"/>
          <w:szCs w:val="30"/>
        </w:rPr>
        <w:t>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left"/>
        <w:textAlignment w:val="auto"/>
        <w:outlineLvl w:val="9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0"/>
          <w:szCs w:val="30"/>
        </w:rPr>
        <w:t>4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.</w:t>
      </w:r>
      <w:r>
        <w:rPr>
          <w:rFonts w:hint="eastAsia" w:ascii="仿宋_GB2312" w:eastAsia="仿宋_GB2312"/>
          <w:color w:val="auto"/>
          <w:sz w:val="30"/>
          <w:szCs w:val="30"/>
        </w:rPr>
        <w:t>本委地址：广州市海珠区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宝岗路龙骧大街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2号</w:t>
      </w:r>
      <w:r>
        <w:rPr>
          <w:rFonts w:hint="eastAsia" w:ascii="仿宋_GB2312" w:eastAsia="仿宋_GB2312"/>
          <w:color w:val="auto"/>
          <w:sz w:val="30"/>
          <w:szCs w:val="30"/>
        </w:rPr>
        <w:t>，联系电话：020-84232762，联系人：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邢蕊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、张璐莎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left"/>
        <w:textAlignment w:val="auto"/>
        <w:outlineLvl w:val="9"/>
        <w:rPr>
          <w:rFonts w:hint="eastAsia" w:ascii="仿宋_GB2312" w:eastAsia="仿宋_GB2312"/>
          <w:color w:val="auto"/>
          <w:sz w:val="30"/>
          <w:szCs w:val="32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   5.本委邮箱：haizhuzhongcai@163.com</w:t>
      </w:r>
      <w:r>
        <w:rPr>
          <w:rFonts w:hint="eastAsia" w:ascii="仿宋_GB2312" w:eastAsia="仿宋_GB2312"/>
          <w:color w:val="auto"/>
          <w:sz w:val="30"/>
          <w:szCs w:val="30"/>
        </w:rPr>
        <w:t>。</w:t>
      </w:r>
    </w:p>
    <w:p/>
    <w:sectPr>
      <w:pgSz w:w="11906" w:h="16838"/>
      <w:pgMar w:top="1304" w:right="1701" w:bottom="119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F7770"/>
    <w:rsid w:val="29FF77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 New New New New New New New New New New New New New New New New New New New New New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2017-12-07T03:32:00Z</dcterms:created>
  <dc:creator>想想</dc:creator>
  <cp:lastModifiedBy>想想</cp:lastModifiedBy>
  <dcterms:modified xsi:type="dcterms:W3CDTF">2017-12-07T03:34:16Z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