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5344"/>
        </w:tabs>
        <w:kinsoku/>
        <w:wordWrap/>
        <w:overflowPunct/>
        <w:topLinePunct w:val="0"/>
        <w:bidi w:val="0"/>
        <w:spacing w:line="560" w:lineRule="exact"/>
        <w:textAlignment w:val="auto"/>
        <w:outlineLvl w:val="9"/>
        <w:rPr>
          <w:rFonts w:hint="eastAsia" w:ascii="黑体" w:hAnsi="黑体" w:eastAsia="黑体" w:cs="黑体"/>
          <w:spacing w:val="-6"/>
          <w:sz w:val="32"/>
          <w:szCs w:val="32"/>
          <w:lang w:eastAsia="zh-CN"/>
        </w:rPr>
      </w:pPr>
      <w:r>
        <w:rPr>
          <w:rFonts w:hint="eastAsia" w:ascii="黑体" w:hAnsi="黑体" w:eastAsia="黑体" w:cs="黑体"/>
          <w:spacing w:val="-6"/>
          <w:sz w:val="32"/>
          <w:szCs w:val="32"/>
        </w:rPr>
        <w:t>附件</w:t>
      </w:r>
      <w:r>
        <w:rPr>
          <w:rFonts w:hint="eastAsia" w:ascii="黑体" w:hAnsi="黑体" w:eastAsia="黑体" w:cs="黑体"/>
          <w:spacing w:val="-6"/>
          <w:sz w:val="32"/>
          <w:szCs w:val="32"/>
          <w:lang w:eastAsia="zh-CN"/>
        </w:rPr>
        <w:tab/>
      </w:r>
    </w:p>
    <w:tbl>
      <w:tblPr>
        <w:tblStyle w:val="3"/>
        <w:tblW w:w="8806" w:type="dxa"/>
        <w:jc w:val="center"/>
        <w:tblLayout w:type="fixed"/>
        <w:tblCellMar>
          <w:top w:w="0" w:type="dxa"/>
          <w:left w:w="108" w:type="dxa"/>
          <w:bottom w:w="0" w:type="dxa"/>
          <w:right w:w="108" w:type="dxa"/>
        </w:tblCellMar>
      </w:tblPr>
      <w:tblGrid>
        <w:gridCol w:w="1275"/>
        <w:gridCol w:w="1033"/>
        <w:gridCol w:w="1034"/>
        <w:gridCol w:w="1033"/>
        <w:gridCol w:w="1034"/>
        <w:gridCol w:w="1033"/>
        <w:gridCol w:w="1034"/>
        <w:gridCol w:w="1330"/>
      </w:tblGrid>
      <w:tr>
        <w:tblPrEx>
          <w:tblCellMar>
            <w:top w:w="0" w:type="dxa"/>
            <w:left w:w="108" w:type="dxa"/>
            <w:bottom w:w="0" w:type="dxa"/>
            <w:right w:w="108" w:type="dxa"/>
          </w:tblCellMar>
        </w:tblPrEx>
        <w:trPr>
          <w:trHeight w:val="624" w:hRule="atLeast"/>
          <w:jc w:val="center"/>
        </w:trPr>
        <w:tc>
          <w:tcPr>
            <w:tcW w:w="8806" w:type="dxa"/>
            <w:gridSpan w:val="8"/>
            <w:vMerge w:val="restart"/>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hint="eastAsia" w:cs="宋体"/>
                <w:b/>
                <w:bCs/>
                <w:kern w:val="0"/>
                <w:sz w:val="32"/>
                <w:szCs w:val="32"/>
              </w:rPr>
            </w:pPr>
            <w:r>
              <w:rPr>
                <w:rFonts w:hint="eastAsia" w:ascii="方正小标宋简体" w:hAnsi="方正小标宋简体" w:eastAsia="方正小标宋简体" w:cs="方正小标宋简体"/>
                <w:kern w:val="0"/>
                <w:sz w:val="32"/>
                <w:szCs w:val="32"/>
                <w:lang w:val="en-US" w:eastAsia="zh-CN"/>
              </w:rPr>
              <w:t>广州市工程招标</w:t>
            </w:r>
            <w:r>
              <w:rPr>
                <w:rFonts w:hint="eastAsia" w:ascii="方正小标宋简体" w:hAnsi="方正小标宋简体" w:eastAsia="方正小标宋简体" w:cs="方正小标宋简体"/>
                <w:kern w:val="0"/>
                <w:sz w:val="32"/>
                <w:szCs w:val="32"/>
              </w:rPr>
              <w:t>核准意见表</w:t>
            </w:r>
          </w:p>
        </w:tc>
      </w:tr>
      <w:tr>
        <w:tblPrEx>
          <w:tblCellMar>
            <w:top w:w="0" w:type="dxa"/>
            <w:left w:w="108" w:type="dxa"/>
            <w:bottom w:w="0" w:type="dxa"/>
            <w:right w:w="108" w:type="dxa"/>
          </w:tblCellMar>
        </w:tblPrEx>
        <w:trPr>
          <w:trHeight w:val="624" w:hRule="atLeast"/>
          <w:jc w:val="center"/>
        </w:trPr>
        <w:tc>
          <w:tcPr>
            <w:tcW w:w="8806" w:type="dxa"/>
            <w:gridSpan w:val="8"/>
            <w:vMerge w:val="continue"/>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jc w:val="left"/>
              <w:textAlignment w:val="auto"/>
              <w:outlineLvl w:val="9"/>
              <w:rPr>
                <w:rFonts w:cs="宋体"/>
                <w:b/>
                <w:bCs/>
                <w:kern w:val="0"/>
                <w:sz w:val="32"/>
                <w:szCs w:val="32"/>
              </w:rPr>
            </w:pPr>
          </w:p>
        </w:tc>
      </w:tr>
      <w:tr>
        <w:tblPrEx>
          <w:tblCellMar>
            <w:top w:w="0" w:type="dxa"/>
            <w:left w:w="108" w:type="dxa"/>
            <w:bottom w:w="0" w:type="dxa"/>
            <w:right w:w="108" w:type="dxa"/>
          </w:tblCellMar>
        </w:tblPrEx>
        <w:trPr>
          <w:trHeight w:val="624" w:hRule="atLeast"/>
          <w:jc w:val="center"/>
        </w:trPr>
        <w:tc>
          <w:tcPr>
            <w:tcW w:w="8806" w:type="dxa"/>
            <w:gridSpan w:val="8"/>
            <w:vMerge w:val="continue"/>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jc w:val="left"/>
              <w:textAlignment w:val="auto"/>
              <w:outlineLvl w:val="9"/>
              <w:rPr>
                <w:rFonts w:cs="宋体"/>
                <w:b/>
                <w:bCs/>
                <w:kern w:val="0"/>
                <w:sz w:val="32"/>
                <w:szCs w:val="32"/>
              </w:rPr>
            </w:pPr>
          </w:p>
        </w:tc>
      </w:tr>
      <w:tr>
        <w:tblPrEx>
          <w:tblCellMar>
            <w:top w:w="0" w:type="dxa"/>
            <w:left w:w="108" w:type="dxa"/>
            <w:bottom w:w="0" w:type="dxa"/>
            <w:right w:w="108" w:type="dxa"/>
          </w:tblCellMar>
        </w:tblPrEx>
        <w:trPr>
          <w:trHeight w:val="600" w:hRule="atLeast"/>
          <w:jc w:val="center"/>
        </w:trPr>
        <w:tc>
          <w:tcPr>
            <w:tcW w:w="8806" w:type="dxa"/>
            <w:gridSpan w:val="8"/>
            <w:tcBorders>
              <w:top w:val="nil"/>
              <w:left w:val="nil"/>
              <w:bottom w:val="single" w:color="auto" w:sz="4" w:space="0"/>
              <w:right w:val="nil"/>
            </w:tcBorders>
            <w:vAlign w:val="center"/>
          </w:tcPr>
          <w:p>
            <w:pPr>
              <w:keepNext w:val="0"/>
              <w:keepLines w:val="0"/>
              <w:pageBreakBefore w:val="0"/>
              <w:kinsoku/>
              <w:wordWrap/>
              <w:overflowPunct/>
              <w:topLinePunct w:val="0"/>
              <w:bidi w:val="0"/>
              <w:snapToGrid w:val="0"/>
              <w:spacing w:line="560" w:lineRule="exact"/>
              <w:textAlignment w:val="auto"/>
              <w:outlineLvl w:val="9"/>
              <w:rPr>
                <w:rFonts w:eastAsia="仿宋_GB2312" w:cs="宋体"/>
                <w:kern w:val="0"/>
                <w:sz w:val="24"/>
              </w:rPr>
            </w:pPr>
          </w:p>
          <w:p>
            <w:pPr>
              <w:keepNext w:val="0"/>
              <w:keepLines w:val="0"/>
              <w:pageBreakBefore w:val="0"/>
              <w:kinsoku/>
              <w:wordWrap/>
              <w:overflowPunct/>
              <w:topLinePunct w:val="0"/>
              <w:bidi w:val="0"/>
              <w:snapToGrid w:val="0"/>
              <w:spacing w:line="560" w:lineRule="exact"/>
              <w:textAlignment w:val="auto"/>
              <w:outlineLvl w:val="9"/>
              <w:rPr>
                <w:rFonts w:hint="eastAsia" w:eastAsia="仿宋_GB2312" w:cs="宋体"/>
                <w:kern w:val="0"/>
                <w:sz w:val="24"/>
                <w:lang w:eastAsia="zh-CN"/>
              </w:rPr>
            </w:pPr>
            <w:r>
              <w:rPr>
                <w:rFonts w:hint="eastAsia" w:eastAsia="仿宋_GB2312" w:cs="宋体"/>
                <w:kern w:val="0"/>
                <w:sz w:val="24"/>
              </w:rPr>
              <w:t>项目名</w:t>
            </w:r>
            <w:r>
              <w:rPr>
                <w:rFonts w:hint="eastAsia" w:eastAsia="仿宋_GB2312" w:cs="宋体"/>
                <w:kern w:val="0"/>
                <w:sz w:val="24"/>
                <w:highlight w:val="none"/>
              </w:rPr>
              <w:t>称:海珠区早期地坑道人防工程安全隐患整治报废回填一期工程</w:t>
            </w:r>
          </w:p>
        </w:tc>
      </w:tr>
      <w:tr>
        <w:tblPrEx>
          <w:tblCellMar>
            <w:top w:w="0" w:type="dxa"/>
            <w:left w:w="108" w:type="dxa"/>
            <w:bottom w:w="0" w:type="dxa"/>
            <w:right w:w="108" w:type="dxa"/>
          </w:tblCellMar>
        </w:tblPrEx>
        <w:trPr>
          <w:trHeight w:val="690" w:hRule="atLeast"/>
          <w:jc w:val="center"/>
        </w:trPr>
        <w:tc>
          <w:tcPr>
            <w:tcW w:w="127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kern w:val="0"/>
                <w:sz w:val="24"/>
              </w:rPr>
            </w:pPr>
            <w:r>
              <w:rPr>
                <w:rFonts w:hint="eastAsia" w:eastAsia="仿宋_GB2312"/>
                <w:kern w:val="0"/>
                <w:sz w:val="24"/>
              </w:rPr>
              <w:t>　</w:t>
            </w:r>
          </w:p>
        </w:tc>
        <w:tc>
          <w:tcPr>
            <w:tcW w:w="20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黑体" w:cs="宋体"/>
                <w:kern w:val="0"/>
                <w:sz w:val="24"/>
              </w:rPr>
            </w:pPr>
            <w:r>
              <w:rPr>
                <w:rFonts w:hint="eastAsia" w:eastAsia="黑体" w:cs="宋体"/>
                <w:kern w:val="0"/>
                <w:sz w:val="24"/>
              </w:rPr>
              <w:t>招标范围</w:t>
            </w:r>
          </w:p>
        </w:tc>
        <w:tc>
          <w:tcPr>
            <w:tcW w:w="20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黑体" w:cs="宋体"/>
                <w:kern w:val="0"/>
                <w:sz w:val="24"/>
              </w:rPr>
            </w:pPr>
            <w:r>
              <w:rPr>
                <w:rFonts w:hint="eastAsia" w:eastAsia="黑体" w:cs="宋体"/>
                <w:kern w:val="0"/>
                <w:sz w:val="24"/>
              </w:rPr>
              <w:t>招标组织形式</w:t>
            </w:r>
          </w:p>
        </w:tc>
        <w:tc>
          <w:tcPr>
            <w:tcW w:w="2067"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黑体" w:cs="宋体"/>
                <w:kern w:val="0"/>
                <w:sz w:val="24"/>
              </w:rPr>
            </w:pPr>
            <w:r>
              <w:rPr>
                <w:rFonts w:hint="eastAsia" w:eastAsia="黑体" w:cs="宋体"/>
                <w:kern w:val="0"/>
                <w:sz w:val="24"/>
              </w:rPr>
              <w:t>招标方式</w:t>
            </w:r>
          </w:p>
        </w:tc>
        <w:tc>
          <w:tcPr>
            <w:tcW w:w="133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黑体" w:cs="宋体"/>
                <w:kern w:val="0"/>
                <w:sz w:val="24"/>
              </w:rPr>
            </w:pPr>
            <w:r>
              <w:rPr>
                <w:rFonts w:hint="eastAsia" w:eastAsia="黑体" w:cs="宋体"/>
                <w:kern w:val="0"/>
                <w:sz w:val="24"/>
              </w:rPr>
              <w:t>不采用</w:t>
            </w:r>
            <w:r>
              <w:rPr>
                <w:rFonts w:eastAsia="黑体" w:cs="宋体"/>
                <w:kern w:val="0"/>
                <w:sz w:val="24"/>
              </w:rPr>
              <w:br w:type="textWrapping"/>
            </w:r>
            <w:r>
              <w:rPr>
                <w:rFonts w:hint="eastAsia" w:eastAsia="黑体" w:cs="宋体"/>
                <w:kern w:val="0"/>
                <w:sz w:val="24"/>
              </w:rPr>
              <w:t>招标方式</w:t>
            </w:r>
          </w:p>
        </w:tc>
      </w:tr>
      <w:tr>
        <w:tblPrEx>
          <w:tblCellMar>
            <w:top w:w="0" w:type="dxa"/>
            <w:left w:w="108" w:type="dxa"/>
            <w:bottom w:w="0" w:type="dxa"/>
            <w:right w:w="108" w:type="dxa"/>
          </w:tblCellMar>
        </w:tblPrEx>
        <w:trPr>
          <w:trHeight w:val="690" w:hRule="atLeast"/>
          <w:jc w:val="center"/>
        </w:trPr>
        <w:tc>
          <w:tcPr>
            <w:tcW w:w="127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left"/>
              <w:textAlignment w:val="auto"/>
              <w:outlineLvl w:val="9"/>
              <w:rPr>
                <w:rFonts w:eastAsia="仿宋_GB2312"/>
                <w:kern w:val="0"/>
                <w:sz w:val="24"/>
              </w:rPr>
            </w:pPr>
          </w:p>
        </w:tc>
        <w:tc>
          <w:tcPr>
            <w:tcW w:w="10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全部</w:t>
            </w:r>
          </w:p>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招标</w:t>
            </w:r>
          </w:p>
        </w:tc>
        <w:tc>
          <w:tcPr>
            <w:tcW w:w="10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部分</w:t>
            </w:r>
          </w:p>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招标</w:t>
            </w:r>
          </w:p>
        </w:tc>
        <w:tc>
          <w:tcPr>
            <w:tcW w:w="10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自行</w:t>
            </w:r>
          </w:p>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招标</w:t>
            </w:r>
          </w:p>
        </w:tc>
        <w:tc>
          <w:tcPr>
            <w:tcW w:w="10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委托</w:t>
            </w:r>
          </w:p>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招标</w:t>
            </w:r>
          </w:p>
        </w:tc>
        <w:tc>
          <w:tcPr>
            <w:tcW w:w="10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公开</w:t>
            </w:r>
          </w:p>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招标</w:t>
            </w:r>
          </w:p>
        </w:tc>
        <w:tc>
          <w:tcPr>
            <w:tcW w:w="10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邀请</w:t>
            </w:r>
          </w:p>
          <w:p>
            <w:pPr>
              <w:keepNext w:val="0"/>
              <w:keepLines w:val="0"/>
              <w:pageBreakBefore w:val="0"/>
              <w:widowControl/>
              <w:kinsoku/>
              <w:wordWrap/>
              <w:overflowPunct/>
              <w:topLinePunct w:val="0"/>
              <w:bidi w:val="0"/>
              <w:spacing w:line="560" w:lineRule="exact"/>
              <w:jc w:val="center"/>
              <w:textAlignment w:val="auto"/>
              <w:outlineLvl w:val="9"/>
              <w:rPr>
                <w:rFonts w:eastAsia="仿宋_GB2312" w:cs="宋体"/>
                <w:kern w:val="0"/>
                <w:sz w:val="24"/>
              </w:rPr>
            </w:pPr>
            <w:r>
              <w:rPr>
                <w:rFonts w:hint="eastAsia" w:eastAsia="仿宋_GB2312" w:cs="宋体"/>
                <w:kern w:val="0"/>
                <w:sz w:val="24"/>
              </w:rPr>
              <w:t>招标</w:t>
            </w:r>
          </w:p>
        </w:tc>
        <w:tc>
          <w:tcPr>
            <w:tcW w:w="133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left"/>
              <w:textAlignment w:val="auto"/>
              <w:outlineLvl w:val="9"/>
              <w:rPr>
                <w:rFonts w:eastAsia="仿宋_GB2312" w:cs="宋体"/>
                <w:kern w:val="0"/>
                <w:sz w:val="24"/>
              </w:rPr>
            </w:pPr>
          </w:p>
        </w:tc>
      </w:tr>
      <w:tr>
        <w:tblPrEx>
          <w:tblCellMar>
            <w:top w:w="0" w:type="dxa"/>
            <w:left w:w="108" w:type="dxa"/>
            <w:bottom w:w="0" w:type="dxa"/>
            <w:right w:w="108" w:type="dxa"/>
          </w:tblCellMar>
        </w:tblPrEx>
        <w:trPr>
          <w:trHeight w:val="567" w:hRule="atLeast"/>
          <w:jc w:val="center"/>
        </w:trPr>
        <w:tc>
          <w:tcPr>
            <w:tcW w:w="127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hint="default" w:eastAsia="仿宋_GB2312" w:cs="宋体"/>
                <w:kern w:val="0"/>
                <w:sz w:val="24"/>
                <w:lang w:val="en-US" w:eastAsia="zh-CN"/>
              </w:rPr>
            </w:pPr>
            <w:r>
              <w:rPr>
                <w:rFonts w:hint="eastAsia" w:eastAsia="仿宋_GB2312" w:cs="宋体"/>
                <w:kern w:val="0"/>
                <w:sz w:val="24"/>
                <w:lang w:val="en-US" w:eastAsia="zh-CN"/>
              </w:rPr>
              <w:t>建筑工程</w:t>
            </w:r>
          </w:p>
        </w:tc>
        <w:tc>
          <w:tcPr>
            <w:tcW w:w="10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hint="eastAsia" w:eastAsia="仿宋_GB2312"/>
                <w:kern w:val="0"/>
                <w:sz w:val="24"/>
              </w:rPr>
            </w:pPr>
            <w:r>
              <w:rPr>
                <w:rFonts w:hint="eastAsia" w:eastAsia="仿宋_GB2312"/>
                <w:kern w:val="0"/>
                <w:sz w:val="24"/>
              </w:rPr>
              <w:t>核准</w:t>
            </w:r>
          </w:p>
        </w:tc>
        <w:tc>
          <w:tcPr>
            <w:tcW w:w="10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kern w:val="0"/>
                <w:sz w:val="24"/>
              </w:rPr>
            </w:pPr>
          </w:p>
        </w:tc>
        <w:tc>
          <w:tcPr>
            <w:tcW w:w="10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kern w:val="0"/>
                <w:sz w:val="24"/>
              </w:rPr>
            </w:pPr>
          </w:p>
        </w:tc>
        <w:tc>
          <w:tcPr>
            <w:tcW w:w="10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hint="eastAsia" w:eastAsia="仿宋_GB2312"/>
                <w:kern w:val="0"/>
                <w:sz w:val="24"/>
              </w:rPr>
            </w:pPr>
            <w:r>
              <w:rPr>
                <w:rFonts w:hint="eastAsia" w:eastAsia="仿宋_GB2312"/>
                <w:kern w:val="0"/>
                <w:sz w:val="24"/>
              </w:rPr>
              <w:t>核准</w:t>
            </w:r>
          </w:p>
        </w:tc>
        <w:tc>
          <w:tcPr>
            <w:tcW w:w="103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hint="eastAsia" w:eastAsia="仿宋_GB2312"/>
                <w:kern w:val="0"/>
                <w:sz w:val="24"/>
              </w:rPr>
            </w:pPr>
            <w:r>
              <w:rPr>
                <w:rFonts w:hint="eastAsia" w:eastAsia="仿宋_GB2312"/>
                <w:kern w:val="0"/>
                <w:sz w:val="24"/>
              </w:rPr>
              <w:t>核准</w:t>
            </w:r>
          </w:p>
        </w:tc>
        <w:tc>
          <w:tcPr>
            <w:tcW w:w="10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eastAsia="仿宋_GB2312"/>
                <w:kern w:val="0"/>
                <w:sz w:val="24"/>
              </w:rPr>
            </w:pPr>
          </w:p>
        </w:tc>
        <w:tc>
          <w:tcPr>
            <w:tcW w:w="13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textAlignment w:val="auto"/>
              <w:outlineLvl w:val="9"/>
              <w:rPr>
                <w:rFonts w:hint="eastAsia" w:eastAsia="仿宋_GB2312"/>
                <w:kern w:val="0"/>
                <w:sz w:val="24"/>
              </w:rPr>
            </w:pPr>
          </w:p>
        </w:tc>
      </w:tr>
      <w:tr>
        <w:tblPrEx>
          <w:tblCellMar>
            <w:top w:w="0" w:type="dxa"/>
            <w:left w:w="108" w:type="dxa"/>
            <w:bottom w:w="0" w:type="dxa"/>
            <w:right w:w="108" w:type="dxa"/>
          </w:tblCellMar>
        </w:tblPrEx>
        <w:trPr>
          <w:trHeight w:val="4114" w:hRule="atLeast"/>
          <w:jc w:val="center"/>
        </w:trPr>
        <w:tc>
          <w:tcPr>
            <w:tcW w:w="8806" w:type="dxa"/>
            <w:gridSpan w:val="8"/>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bidi w:val="0"/>
              <w:spacing w:line="560" w:lineRule="exact"/>
              <w:jc w:val="left"/>
              <w:textAlignment w:val="auto"/>
              <w:outlineLvl w:val="9"/>
              <w:rPr>
                <w:rFonts w:hint="eastAsia" w:eastAsia="仿宋_GB2312" w:cs="宋体"/>
                <w:kern w:val="0"/>
                <w:sz w:val="24"/>
                <w:lang w:val="en-US" w:eastAsia="zh-CN"/>
              </w:rPr>
            </w:pPr>
          </w:p>
          <w:p>
            <w:pPr>
              <w:keepNext w:val="0"/>
              <w:keepLines w:val="0"/>
              <w:pageBreakBefore w:val="0"/>
              <w:widowControl/>
              <w:kinsoku/>
              <w:wordWrap/>
              <w:overflowPunct/>
              <w:topLinePunct w:val="0"/>
              <w:bidi w:val="0"/>
              <w:spacing w:line="560" w:lineRule="exact"/>
              <w:jc w:val="left"/>
              <w:textAlignment w:val="auto"/>
              <w:outlineLvl w:val="9"/>
              <w:rPr>
                <w:rFonts w:hint="eastAsia" w:eastAsia="仿宋_GB2312" w:cs="宋体"/>
                <w:kern w:val="0"/>
                <w:sz w:val="24"/>
              </w:rPr>
            </w:pPr>
            <w:r>
              <w:rPr>
                <w:rFonts w:hint="eastAsia" w:eastAsia="仿宋_GB2312" w:cs="宋体"/>
                <w:kern w:val="0"/>
                <w:sz w:val="24"/>
                <w:lang w:val="en-US" w:eastAsia="zh-CN"/>
              </w:rPr>
              <w:t>核准意见</w:t>
            </w:r>
            <w:r>
              <w:rPr>
                <w:rFonts w:hint="eastAsia" w:eastAsia="仿宋_GB2312" w:cs="宋体"/>
                <w:kern w:val="0"/>
                <w:sz w:val="24"/>
              </w:rPr>
              <w:t>：</w:t>
            </w:r>
            <w:r>
              <w:rPr>
                <w:rFonts w:eastAsia="仿宋_GB2312" w:cs="宋体"/>
                <w:kern w:val="0"/>
                <w:sz w:val="24"/>
              </w:rPr>
              <w:br w:type="textWrapping"/>
            </w:r>
            <w:r>
              <w:rPr>
                <w:rFonts w:eastAsia="仿宋_GB2312" w:cs="宋体"/>
                <w:kern w:val="0"/>
                <w:sz w:val="24"/>
              </w:rPr>
              <w:br w:type="textWrapping"/>
            </w:r>
            <w:r>
              <w:rPr>
                <w:rFonts w:hint="eastAsia" w:eastAsia="仿宋_GB2312" w:cs="宋体"/>
                <w:kern w:val="0"/>
                <w:sz w:val="24"/>
              </w:rPr>
              <w:t xml:space="preserve">    根据《中华人民共和国招标投标法》、《广东省实施&lt;中华人民共和国招标投标法&gt;办法》和《广州市发展改革委关于转发省发展改革委转发国家发展改革委必须招标的基础设施和公用事业项目范围规定及关于贯彻落实必须招标的工程项目规定的通知》（穗发改〔2018〕588号）的有关规定，本项目的</w:t>
            </w:r>
            <w:r>
              <w:rPr>
                <w:rFonts w:hint="eastAsia" w:eastAsia="仿宋_GB2312" w:cs="宋体"/>
                <w:kern w:val="0"/>
                <w:sz w:val="24"/>
                <w:lang w:val="en-US" w:eastAsia="zh-CN"/>
              </w:rPr>
              <w:t>建筑工程采用公开招标方式。</w:t>
            </w:r>
          </w:p>
          <w:p>
            <w:pPr>
              <w:keepNext w:val="0"/>
              <w:keepLines w:val="0"/>
              <w:pageBreakBefore w:val="0"/>
              <w:widowControl/>
              <w:kinsoku/>
              <w:wordWrap/>
              <w:overflowPunct/>
              <w:topLinePunct w:val="0"/>
              <w:bidi w:val="0"/>
              <w:spacing w:line="560" w:lineRule="exact"/>
              <w:jc w:val="left"/>
              <w:textAlignment w:val="auto"/>
              <w:outlineLvl w:val="9"/>
              <w:rPr>
                <w:rFonts w:hint="eastAsia" w:eastAsia="仿宋_GB2312" w:cs="宋体"/>
                <w:kern w:val="0"/>
                <w:sz w:val="24"/>
              </w:rPr>
            </w:pPr>
          </w:p>
          <w:p>
            <w:pPr>
              <w:keepNext w:val="0"/>
              <w:keepLines w:val="0"/>
              <w:pageBreakBefore w:val="0"/>
              <w:widowControl/>
              <w:kinsoku/>
              <w:wordWrap/>
              <w:overflowPunct/>
              <w:topLinePunct w:val="0"/>
              <w:bidi w:val="0"/>
              <w:spacing w:line="560" w:lineRule="exact"/>
              <w:jc w:val="left"/>
              <w:textAlignment w:val="auto"/>
              <w:outlineLvl w:val="9"/>
              <w:rPr>
                <w:rFonts w:hint="eastAsia" w:eastAsia="仿宋_GB2312" w:cs="宋体"/>
                <w:kern w:val="0"/>
                <w:sz w:val="24"/>
              </w:rPr>
            </w:pPr>
          </w:p>
          <w:p>
            <w:pPr>
              <w:keepNext w:val="0"/>
              <w:keepLines w:val="0"/>
              <w:pageBreakBefore w:val="0"/>
              <w:widowControl/>
              <w:kinsoku/>
              <w:wordWrap/>
              <w:overflowPunct/>
              <w:topLinePunct w:val="0"/>
              <w:bidi w:val="0"/>
              <w:spacing w:line="560" w:lineRule="exact"/>
              <w:jc w:val="left"/>
              <w:textAlignment w:val="auto"/>
              <w:outlineLvl w:val="9"/>
              <w:rPr>
                <w:rFonts w:hint="eastAsia" w:eastAsia="仿宋_GB2312" w:cs="宋体"/>
                <w:kern w:val="0"/>
                <w:sz w:val="24"/>
                <w:lang w:val="en-US" w:eastAsia="zh-CN"/>
              </w:rPr>
            </w:pPr>
            <w:r>
              <w:rPr>
                <w:rFonts w:hint="eastAsia" w:eastAsia="仿宋_GB2312" w:cs="宋体"/>
                <w:kern w:val="0"/>
                <w:sz w:val="24"/>
                <w:lang w:val="en-US" w:eastAsia="zh-CN"/>
              </w:rPr>
              <w:t xml:space="preserve">                                         广州市海珠区发展和改革局</w:t>
            </w:r>
          </w:p>
          <w:p>
            <w:pPr>
              <w:keepNext w:val="0"/>
              <w:keepLines w:val="0"/>
              <w:pageBreakBefore w:val="0"/>
              <w:widowControl/>
              <w:kinsoku/>
              <w:wordWrap/>
              <w:overflowPunct/>
              <w:topLinePunct w:val="0"/>
              <w:bidi w:val="0"/>
              <w:spacing w:line="560" w:lineRule="exact"/>
              <w:jc w:val="left"/>
              <w:textAlignment w:val="auto"/>
              <w:outlineLvl w:val="9"/>
              <w:rPr>
                <w:rFonts w:hint="eastAsia" w:eastAsia="仿宋_GB2312" w:cs="宋体"/>
                <w:kern w:val="0"/>
                <w:sz w:val="24"/>
                <w:lang w:val="en-US" w:eastAsia="zh-CN"/>
              </w:rPr>
            </w:pPr>
            <w:r>
              <w:rPr>
                <w:rFonts w:hint="eastAsia" w:eastAsia="仿宋_GB2312" w:cs="宋体"/>
                <w:kern w:val="0"/>
                <w:sz w:val="24"/>
                <w:lang w:val="en-US" w:eastAsia="zh-CN"/>
              </w:rPr>
              <w:t xml:space="preserve">                                             2020年9月17日</w:t>
            </w:r>
          </w:p>
          <w:p>
            <w:pPr>
              <w:keepNext w:val="0"/>
              <w:keepLines w:val="0"/>
              <w:pageBreakBefore w:val="0"/>
              <w:widowControl/>
              <w:kinsoku/>
              <w:wordWrap/>
              <w:overflowPunct/>
              <w:topLinePunct w:val="0"/>
              <w:bidi w:val="0"/>
              <w:spacing w:line="560" w:lineRule="exact"/>
              <w:jc w:val="left"/>
              <w:textAlignment w:val="auto"/>
              <w:outlineLvl w:val="9"/>
              <w:rPr>
                <w:rFonts w:hint="eastAsia" w:eastAsia="仿宋_GB2312" w:cs="宋体"/>
                <w:kern w:val="0"/>
                <w:sz w:val="24"/>
                <w:lang w:val="en-US" w:eastAsia="zh-CN"/>
              </w:rPr>
            </w:pPr>
          </w:p>
          <w:p>
            <w:pPr>
              <w:keepNext w:val="0"/>
              <w:keepLines w:val="0"/>
              <w:pageBreakBefore w:val="0"/>
              <w:widowControl/>
              <w:kinsoku/>
              <w:wordWrap/>
              <w:overflowPunct/>
              <w:topLinePunct w:val="0"/>
              <w:bidi w:val="0"/>
              <w:spacing w:line="560" w:lineRule="exact"/>
              <w:jc w:val="left"/>
              <w:textAlignment w:val="auto"/>
              <w:outlineLvl w:val="9"/>
              <w:rPr>
                <w:rFonts w:hint="default" w:eastAsia="仿宋_GB2312" w:cs="宋体"/>
                <w:kern w:val="0"/>
                <w:sz w:val="24"/>
                <w:lang w:val="en-US" w:eastAsia="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72933"/>
    <w:rsid w:val="20D72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样式 宋体 行距: 1.5 倍行距"/>
    <w:basedOn w:val="1"/>
    <w:qFormat/>
    <w:uiPriority w:val="0"/>
    <w:pPr>
      <w:ind w:firstLine="0"/>
      <w:jc w:val="center"/>
    </w:pPr>
    <w:rPr>
      <w:rFonts w:ascii="Times New Roman" w:hAnsi="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2021-01-26T08:44:00Z</dcterms:created>
  <dc:creator>小栗</dc:creator>
  <cp:lastModifiedBy>小栗</cp:lastModifiedBy>
  <dcterms:modified xsi:type="dcterms:W3CDTF">2021-01-26T08:45:29Z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