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center"/>
        <w:rPr>
          <w:rFonts w:hint="eastAsia" w:ascii="黑体" w:hAnsi="黑体" w:eastAsia="黑体" w:cs="Times New Roman"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2019-</w:t>
      </w:r>
      <w:r>
        <w:rPr>
          <w:rFonts w:hint="eastAsia" w:ascii="黑体" w:hAnsi="黑体" w:eastAsia="黑体" w:cs="Times New Roman"/>
          <w:sz w:val="44"/>
          <w:szCs w:val="44"/>
        </w:rPr>
        <w:t>2</w:t>
      </w:r>
      <w:r>
        <w:rPr>
          <w:rFonts w:ascii="黑体" w:hAnsi="黑体" w:eastAsia="黑体" w:cs="Times New Roman"/>
          <w:sz w:val="44"/>
          <w:szCs w:val="44"/>
        </w:rPr>
        <w:t>020</w:t>
      </w:r>
      <w:r>
        <w:rPr>
          <w:rFonts w:hint="eastAsia" w:ascii="黑体" w:hAnsi="黑体" w:eastAsia="黑体" w:cs="Times New Roman"/>
          <w:sz w:val="44"/>
          <w:szCs w:val="44"/>
        </w:rPr>
        <w:t>年海珠区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预算</w:t>
      </w:r>
      <w:r>
        <w:rPr>
          <w:rFonts w:hint="eastAsia" w:ascii="黑体" w:hAnsi="黑体" w:eastAsia="黑体" w:cs="Times New Roman"/>
          <w:sz w:val="44"/>
          <w:szCs w:val="44"/>
        </w:rPr>
        <w:t>绩效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管理</w:t>
      </w:r>
      <w:r>
        <w:rPr>
          <w:rFonts w:hint="eastAsia" w:ascii="黑体" w:hAnsi="黑体" w:eastAsia="黑体" w:cs="Times New Roman"/>
          <w:sz w:val="44"/>
          <w:szCs w:val="44"/>
        </w:rPr>
        <w:t>工作</w:t>
      </w:r>
    </w:p>
    <w:p>
      <w:pPr>
        <w:spacing w:after="312" w:afterLines="100" w:line="560" w:lineRule="exact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情况</w:t>
      </w:r>
      <w:r>
        <w:rPr>
          <w:rFonts w:hint="eastAsia" w:ascii="黑体" w:hAnsi="黑体" w:eastAsia="黑体" w:cs="Times New Roman"/>
          <w:sz w:val="44"/>
          <w:szCs w:val="44"/>
        </w:rPr>
        <w:t>报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告</w:t>
      </w:r>
    </w:p>
    <w:bookmarkEnd w:id="0"/>
    <w:p>
      <w:pPr>
        <w:spacing w:line="560" w:lineRule="exact"/>
        <w:rPr>
          <w:rFonts w:hint="eastAsia" w:ascii="仿宋_GB2312" w:hAnsi="华文仿宋" w:eastAsia="仿宋_GB2312" w:cs="Times New Roman"/>
          <w:sz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 xml:space="preserve">    近年来，我区</w:t>
      </w:r>
      <w:r>
        <w:rPr>
          <w:rFonts w:hint="eastAsia" w:ascii="仿宋_GB2312" w:hAnsi="华文仿宋" w:eastAsia="仿宋_GB2312" w:cs="Times New Roman"/>
          <w:sz w:val="32"/>
        </w:rPr>
        <w:t>预算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绩效管理工作取得了一定的成效，从2017年起，每年制定</w:t>
      </w:r>
      <w:r>
        <w:rPr>
          <w:rFonts w:hint="eastAsia" w:ascii="仿宋_GB2312" w:hAnsi="华文仿宋" w:eastAsia="仿宋_GB2312" w:cs="Times New Roman"/>
          <w:sz w:val="32"/>
        </w:rPr>
        <w:t>年度全面实施预算绩效管理工作方案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，已构建完成“全方位、全过程、全覆盖、全公开”的</w:t>
      </w:r>
      <w:r>
        <w:rPr>
          <w:rFonts w:hint="eastAsia" w:ascii="仿宋_GB2312" w:hAnsi="华文仿宋" w:eastAsia="仿宋_GB2312" w:cs="Times New Roman"/>
          <w:sz w:val="32"/>
        </w:rPr>
        <w:t>预算绩效管理体系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lang w:eastAsia="zh-CN"/>
        </w:rPr>
        <w:t>一、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2019-2020年</w:t>
      </w:r>
      <w:r>
        <w:rPr>
          <w:rFonts w:hint="eastAsia" w:ascii="仿宋_GB2312" w:hAnsi="华文仿宋" w:eastAsia="仿宋_GB2312" w:cs="Times New Roman"/>
          <w:sz w:val="32"/>
        </w:rPr>
        <w:t>预算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绩效管理工作概况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2019年度，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我局以</w:t>
      </w:r>
      <w:r>
        <w:rPr>
          <w:rFonts w:hint="eastAsia" w:ascii="仿宋_GB2312" w:hAnsi="华文仿宋" w:eastAsia="仿宋_GB2312" w:cs="Times New Roman"/>
          <w:sz w:val="32"/>
        </w:rPr>
        <w:t>中央、省、市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的政策精神统一思想</w:t>
      </w:r>
      <w:r>
        <w:rPr>
          <w:rFonts w:hint="eastAsia" w:ascii="仿宋_GB2312" w:hAnsi="华文仿宋" w:eastAsia="仿宋_GB2312" w:cs="Times New Roman"/>
          <w:sz w:val="32"/>
        </w:rPr>
        <w:t>，通过加强制度建设、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严格绩效目标、全面</w:t>
      </w:r>
      <w:r>
        <w:rPr>
          <w:rFonts w:hint="eastAsia" w:ascii="仿宋_GB2312" w:hAnsi="华文仿宋" w:eastAsia="仿宋_GB2312" w:cs="Times New Roman"/>
          <w:sz w:val="32"/>
        </w:rPr>
        <w:t>运行监控和开展重点评价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以及业务培训</w:t>
      </w:r>
      <w:r>
        <w:rPr>
          <w:rFonts w:hint="eastAsia" w:ascii="仿宋_GB2312" w:hAnsi="华文仿宋" w:eastAsia="仿宋_GB2312" w:cs="Times New Roman"/>
          <w:sz w:val="32"/>
        </w:rPr>
        <w:t>等多项措施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，积极探索</w:t>
      </w:r>
      <w:r>
        <w:rPr>
          <w:rFonts w:hint="eastAsia" w:ascii="仿宋_GB2312" w:hAnsi="华文仿宋" w:eastAsia="仿宋_GB2312" w:cs="Times New Roman"/>
          <w:sz w:val="32"/>
        </w:rPr>
        <w:t>，重点突破，全面推进预算绩效管理工作，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2019年全区71个一级预算单位全面实施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部门整体支出绩效目标申报工作，占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2019年度预算公开部门100%，并对8个部门整体以及15个重点项目金额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91809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.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29万元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委托第三方评估机构开展绩效评价工作。2019年下半年，我局依托财政一体化平台建设，设计绩效管理模块，2020年度全区74个一级预算部门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部门整体支出绩效目标和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项目绩效目标的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申报完全实现网上申报，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2020年10月起部门整体支出和重点项目的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季度绩效自行监控也实现网上申报；绩效调整、绩效自评等功能也将陆续上线，实现全过程网上监管，实现绩效管理智能化、便捷化。在绩效评价结果的运用方面，我局也积极探索，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2019年重点部门和重点项目的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绩效结果也随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2019年的决算一并公开，并细化入2020年度机关绩效考核中财政绩效分值构成，切实做到“花钱必问效、无效必问责”。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我局在推进</w:t>
      </w:r>
      <w:r>
        <w:rPr>
          <w:rFonts w:hint="eastAsia" w:ascii="仿宋_GB2312" w:hAnsi="华文仿宋" w:eastAsia="仿宋_GB2312" w:cs="Times New Roman"/>
          <w:sz w:val="32"/>
        </w:rPr>
        <w:t>预算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绩效管理基础性工作的同时，积极探索两方面的工作：一是将绩效与预算有机结合，形成工作合力。2020年财政部门将利用财政的一体化系统，完成</w:t>
      </w:r>
      <w:r>
        <w:rPr>
          <w:rFonts w:hint="eastAsia" w:ascii="仿宋_GB2312" w:hAnsi="华文仿宋" w:eastAsia="仿宋_GB2312" w:cs="Times New Roman"/>
          <w:sz w:val="32"/>
        </w:rPr>
        <w:t>预算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绩效管理模块，加强财政与预算单位的业务协同能力建设。二是完善</w:t>
      </w:r>
      <w:r>
        <w:rPr>
          <w:rFonts w:hint="eastAsia" w:ascii="仿宋_GB2312" w:hAnsi="华文仿宋" w:eastAsia="仿宋_GB2312" w:cs="Times New Roman"/>
          <w:sz w:val="32"/>
        </w:rPr>
        <w:t>预算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绩效管理制度，今年我局制定印发了《海珠区2020年度全面实施预算绩效管理工作方案》，目前我们正草拟《海珠区预算绩效目标管理办法》、《海珠区部门整体支出绩效管理办法》和《海珠区财政支出绩效监控管理办法》3个文件，从制度上查漏补缺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lang w:eastAsia="zh-CN"/>
        </w:rPr>
        <w:t>二、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2019年重点部门及重点项目第三方</w:t>
      </w:r>
      <w:r>
        <w:rPr>
          <w:rFonts w:hint="eastAsia" w:ascii="仿宋_GB2312" w:hAnsi="华文仿宋" w:eastAsia="仿宋_GB2312" w:cs="Times New Roman"/>
          <w:sz w:val="32"/>
        </w:rPr>
        <w:t>预算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绩效评价工作情况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（一）开展第三方评价概况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</w:rPr>
        <w:t>根据《关于全面实施预算绩效管理的意见》、《海珠区2019年度全面实施预算绩效管理工作方案》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，我局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2019年11月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委托第三方机构</w:t>
      </w:r>
      <w:r>
        <w:rPr>
          <w:rFonts w:hint="eastAsia" w:ascii="仿宋_GB2312" w:hAnsi="华文仿宋" w:eastAsia="仿宋_GB2312" w:cs="Times New Roman"/>
          <w:sz w:val="32"/>
        </w:rPr>
        <w:t>对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2019年度</w:t>
      </w:r>
      <w:r>
        <w:rPr>
          <w:rFonts w:hint="eastAsia" w:ascii="仿宋_GB2312" w:hAnsi="华文仿宋" w:eastAsia="仿宋_GB2312" w:cs="Times New Roman"/>
          <w:sz w:val="32"/>
        </w:rPr>
        <w:t>广州市公安局海珠区分局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等</w:t>
      </w:r>
      <w:r>
        <w:rPr>
          <w:rFonts w:hint="eastAsia" w:ascii="仿宋_GB2312" w:hAnsi="华文仿宋" w:eastAsia="仿宋_GB2312" w:cs="Times New Roman"/>
          <w:sz w:val="32"/>
        </w:rPr>
        <w:t>8个部门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整体支出，</w:t>
      </w:r>
      <w:r>
        <w:rPr>
          <w:rFonts w:hint="eastAsia" w:ascii="仿宋_GB2312" w:hAnsi="华文仿宋" w:eastAsia="仿宋_GB2312" w:cs="Times New Roman"/>
          <w:sz w:val="32"/>
        </w:rPr>
        <w:t>以及公安综合管理业务经费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等</w:t>
      </w:r>
      <w:r>
        <w:rPr>
          <w:rFonts w:hint="eastAsia" w:ascii="仿宋_GB2312" w:hAnsi="华文仿宋" w:eastAsia="仿宋_GB2312" w:cs="Times New Roman"/>
          <w:sz w:val="32"/>
        </w:rPr>
        <w:t>15个重点项目进行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财政支出</w:t>
      </w:r>
      <w:r>
        <w:rPr>
          <w:rFonts w:hint="eastAsia" w:ascii="仿宋_GB2312" w:hAnsi="华文仿宋" w:eastAsia="仿宋_GB2312" w:cs="Times New Roman"/>
          <w:sz w:val="32"/>
        </w:rPr>
        <w:t>绩效评价。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评价工作主要包括</w:t>
      </w:r>
      <w:r>
        <w:rPr>
          <w:rFonts w:hint="eastAsia" w:ascii="仿宋_GB2312" w:hAnsi="华文仿宋" w:eastAsia="仿宋_GB2312" w:cs="Times New Roman"/>
          <w:sz w:val="32"/>
        </w:rPr>
        <w:t>绩效目标设置辅导、绩效自评辅导、收集评价资料、综合评分等程序，基本形成评价结果。本次评价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第三方机构</w:t>
      </w:r>
      <w:r>
        <w:rPr>
          <w:rFonts w:hint="eastAsia" w:ascii="仿宋_GB2312" w:hAnsi="华文仿宋" w:eastAsia="仿宋_GB2312" w:cs="Times New Roman"/>
          <w:sz w:val="32"/>
        </w:rPr>
        <w:t>主要采用目标预定与实施效果比较法开展，主要从项目立项、资金使用效率性、制度管理、财务管理、项目产出、项目效益六个方面进行综合评价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，并按分值区分评价等级，</w:t>
      </w:r>
      <w:r>
        <w:rPr>
          <w:rFonts w:hint="eastAsia" w:ascii="仿宋_GB2312" w:hAnsi="华文仿宋" w:eastAsia="仿宋_GB2312" w:cs="Times New Roman"/>
          <w:sz w:val="32"/>
        </w:rPr>
        <w:t>优（得分≥90），良（90＞得分≥80），中（80＞得分≥70），低（70＞得分≥50），差（得分＜50）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lang w:eastAsia="zh-CN"/>
        </w:rPr>
        <w:t>第三方机构对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8个部门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的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整体支出绩效评价意见，评价等级是“优”有2个部门，评价等级是“良”有4个部门，评价等级是“中”有2个部门；15个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重点项目第三方的评价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意见，评价等级是“优”项目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有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4个，评价等级是“良”项目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有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9个，评价等级是“中”项目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有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1个，评价等级是“低”项目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有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1个。</w:t>
      </w:r>
      <w:r>
        <w:rPr>
          <w:rFonts w:hint="eastAsia" w:ascii="仿宋_GB2312" w:hAnsi="华文仿宋" w:eastAsia="仿宋_GB2312" w:cs="Times New Roman"/>
          <w:sz w:val="32"/>
          <w:szCs w:val="22"/>
          <w:lang w:eastAsia="zh-CN"/>
        </w:rPr>
        <w:t>在项目评价中，预算资金管理水平将直接影响项目绩效，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按照《广州市市级2019年度财政支出绩效评价工作规范》的评分规范，预算区科工商信局的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2019年度人才奖励资金项目，虽然总得分83.1分，但由于</w:t>
      </w:r>
      <w:r>
        <w:rPr>
          <w:rFonts w:hint="eastAsia" w:ascii="仿宋_GB2312" w:hAnsi="华文仿宋" w:eastAsia="仿宋_GB2312" w:cs="Times New Roman"/>
          <w:bCs w:val="0"/>
          <w:sz w:val="32"/>
          <w:szCs w:val="22"/>
          <w:lang w:val="en-US" w:eastAsia="zh-CN"/>
        </w:rPr>
        <w:t>预算完成率仅为60.38%，低于80%的，该项目的</w:t>
      </w:r>
      <w:r>
        <w:rPr>
          <w:rFonts w:hint="eastAsia" w:ascii="仿宋_GB2312" w:hAnsi="华文仿宋" w:eastAsia="仿宋_GB2312" w:cs="Times New Roman"/>
          <w:sz w:val="32"/>
          <w:szCs w:val="22"/>
          <w:lang w:val="en-US" w:eastAsia="zh-CN"/>
        </w:rPr>
        <w:t>综合评定等级为调整为“中”，</w:t>
      </w: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详细的部门及项目的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评价得分及评价等级如下：</w:t>
      </w:r>
    </w:p>
    <w:p>
      <w:pPr>
        <w:rPr>
          <w:rFonts w:hint="eastAsia"/>
          <w:lang w:val="en-US" w:eastAsia="zh-CN"/>
        </w:rPr>
      </w:pPr>
      <w:r>
        <w:object>
          <v:shape id="_x0000_i1025" o:spt="75" type="#_x0000_t75" style="height:501.4pt;width:420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60" w:lineRule="exact"/>
        <w:rPr>
          <w:rFonts w:ascii="仿宋_GB2312" w:hAnsi="华文仿宋" w:eastAsia="仿宋_GB2312" w:cs="Times New Roman"/>
          <w:sz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（二）第三方评价机构</w:t>
      </w:r>
      <w:r>
        <w:rPr>
          <w:rFonts w:hint="eastAsia" w:ascii="仿宋_GB2312" w:hAnsi="华文仿宋" w:eastAsia="仿宋_GB2312" w:cs="Times New Roman"/>
          <w:sz w:val="32"/>
        </w:rPr>
        <w:t>主要发现问题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1、设置绩效目标与绩效指标规范性有待提升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在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评价中核对</w:t>
      </w:r>
      <w:r>
        <w:rPr>
          <w:rFonts w:hint="eastAsia" w:ascii="仿宋_GB2312" w:hAnsi="华文仿宋" w:eastAsia="仿宋_GB2312" w:cs="Times New Roman"/>
          <w:sz w:val="32"/>
        </w:rPr>
        <w:t>各项目原始项目入库表（项目绩效目标申报表）时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，</w:t>
      </w:r>
      <w:r>
        <w:rPr>
          <w:rFonts w:hint="eastAsia" w:ascii="仿宋_GB2312" w:hAnsi="华文仿宋" w:eastAsia="仿宋_GB2312" w:cs="Times New Roman"/>
          <w:sz w:val="32"/>
        </w:rPr>
        <w:t>发现大部分绩效目标与指标的设置未达到相关要求。如“</w:t>
      </w:r>
      <w:r>
        <w:rPr>
          <w:rFonts w:ascii="仿宋_GB2312" w:hAnsi="华文仿宋" w:eastAsia="仿宋_GB2312" w:cs="Times New Roman"/>
          <w:sz w:val="32"/>
        </w:rPr>
        <w:t>2019年度企业奖励专项资金项目</w:t>
      </w:r>
      <w:r>
        <w:rPr>
          <w:rFonts w:hint="eastAsia" w:ascii="仿宋_GB2312" w:hAnsi="华文仿宋" w:eastAsia="仿宋_GB2312" w:cs="Times New Roman"/>
          <w:sz w:val="32"/>
        </w:rPr>
        <w:t>”填报</w:t>
      </w:r>
      <w:r>
        <w:rPr>
          <w:rFonts w:ascii="仿宋_GB2312" w:hAnsi="华文仿宋" w:eastAsia="仿宋_GB2312" w:cs="Times New Roman"/>
          <w:sz w:val="32"/>
        </w:rPr>
        <w:t>2019年度项目入库表时，未设置规范的绩效指标，未能反映当年工作内容</w:t>
      </w:r>
      <w:r>
        <w:rPr>
          <w:rFonts w:hint="eastAsia" w:ascii="仿宋_GB2312" w:hAnsi="华文仿宋" w:eastAsia="仿宋_GB2312" w:cs="Times New Roman"/>
          <w:sz w:val="32"/>
        </w:rPr>
        <w:t>。另有部分项目入库表所设置的绩效目标、绩效指标存在内容与支出计划不匹配、指标数量不足、目标考核方式不清晰、指标目标值不明确等情况。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2、项目预算完成率偏低，未及时进行预算调整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在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评价中核对</w:t>
      </w:r>
      <w:r>
        <w:rPr>
          <w:rFonts w:hint="eastAsia" w:ascii="仿宋_GB2312" w:hAnsi="华文仿宋" w:eastAsia="仿宋_GB2312" w:cs="Times New Roman"/>
          <w:sz w:val="32"/>
        </w:rPr>
        <w:t>各项目决算数据时发现其中两个项目的实际预算完成率低于8</w:t>
      </w:r>
      <w:r>
        <w:rPr>
          <w:rFonts w:ascii="仿宋_GB2312" w:hAnsi="华文仿宋" w:eastAsia="仿宋_GB2312" w:cs="Times New Roman"/>
          <w:sz w:val="32"/>
        </w:rPr>
        <w:t>0</w:t>
      </w:r>
      <w:r>
        <w:rPr>
          <w:rFonts w:hint="eastAsia" w:ascii="仿宋_GB2312" w:hAnsi="华文仿宋" w:eastAsia="仿宋_GB2312" w:cs="Times New Roman"/>
          <w:sz w:val="32"/>
        </w:rPr>
        <w:t>%：“人才奖励资金”预算完成率6</w:t>
      </w:r>
      <w:r>
        <w:rPr>
          <w:rFonts w:ascii="仿宋_GB2312" w:hAnsi="华文仿宋" w:eastAsia="仿宋_GB2312" w:cs="Times New Roman"/>
          <w:sz w:val="32"/>
        </w:rPr>
        <w:t>0.38</w:t>
      </w:r>
      <w:r>
        <w:rPr>
          <w:rFonts w:hint="eastAsia" w:ascii="仿宋_GB2312" w:hAnsi="华文仿宋" w:eastAsia="仿宋_GB2312" w:cs="Times New Roman"/>
          <w:sz w:val="32"/>
        </w:rPr>
        <w:t>%、“城维计划</w:t>
      </w:r>
      <w:r>
        <w:rPr>
          <w:rFonts w:ascii="仿宋_GB2312" w:hAnsi="华文仿宋" w:eastAsia="仿宋_GB2312" w:cs="Times New Roman"/>
          <w:sz w:val="32"/>
        </w:rPr>
        <w:t>-2019年环卫设备购置经费</w:t>
      </w:r>
      <w:r>
        <w:rPr>
          <w:rFonts w:hint="eastAsia" w:ascii="仿宋_GB2312" w:hAnsi="华文仿宋" w:eastAsia="仿宋_GB2312" w:cs="Times New Roman"/>
          <w:sz w:val="32"/>
        </w:rPr>
        <w:t>”</w:t>
      </w:r>
      <w:r>
        <w:rPr>
          <w:rFonts w:hint="eastAsia"/>
        </w:rPr>
        <w:t xml:space="preserve"> </w:t>
      </w:r>
      <w:r>
        <w:rPr>
          <w:rFonts w:hint="eastAsia" w:ascii="仿宋_GB2312" w:hAnsi="华文仿宋" w:eastAsia="仿宋_GB2312" w:cs="Times New Roman"/>
          <w:sz w:val="32"/>
        </w:rPr>
        <w:t>预算完成率仅为5</w:t>
      </w:r>
      <w:r>
        <w:rPr>
          <w:rFonts w:ascii="仿宋_GB2312" w:hAnsi="华文仿宋" w:eastAsia="仿宋_GB2312" w:cs="Times New Roman"/>
          <w:sz w:val="32"/>
        </w:rPr>
        <w:t>.44</w:t>
      </w:r>
      <w:r>
        <w:rPr>
          <w:rFonts w:hint="eastAsia" w:ascii="仿宋_GB2312" w:hAnsi="华文仿宋" w:eastAsia="仿宋_GB2312" w:cs="Times New Roman"/>
          <w:sz w:val="32"/>
        </w:rPr>
        <w:t>%。两个项目都因为客观原因导致当年未能支出全部预算资金，但未进行预算调整，导致最终预算完成率均偏低。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3、部分指标未能按计划完成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在评价过程中发现本项目存在部分指标未达到预期目标值，实际完成值与计划存在存在差异。如“</w:t>
      </w:r>
      <w:r>
        <w:rPr>
          <w:rFonts w:ascii="仿宋_GB2312" w:hAnsi="华文仿宋" w:eastAsia="仿宋_GB2312" w:cs="Times New Roman"/>
          <w:sz w:val="32"/>
        </w:rPr>
        <w:t>2019年度独生子女父母奖励费项目</w:t>
      </w:r>
      <w:r>
        <w:rPr>
          <w:rFonts w:hint="eastAsia" w:ascii="仿宋_GB2312" w:hAnsi="华文仿宋" w:eastAsia="仿宋_GB2312" w:cs="Times New Roman"/>
          <w:sz w:val="32"/>
        </w:rPr>
        <w:t>”的错发追回率指标、“城维计划</w:t>
      </w:r>
      <w:r>
        <w:rPr>
          <w:rFonts w:ascii="仿宋_GB2312" w:hAnsi="华文仿宋" w:eastAsia="仿宋_GB2312" w:cs="Times New Roman"/>
          <w:sz w:val="32"/>
        </w:rPr>
        <w:t>-2019年环卫设备购置经费”</w:t>
      </w:r>
      <w:r>
        <w:rPr>
          <w:rFonts w:hint="eastAsia" w:ascii="仿宋_GB2312" w:hAnsi="华文仿宋" w:eastAsia="仿宋_GB2312" w:cs="Times New Roman"/>
          <w:sz w:val="32"/>
        </w:rPr>
        <w:t>的各项采购及验收指标、“</w:t>
      </w:r>
      <w:r>
        <w:rPr>
          <w:rFonts w:ascii="仿宋_GB2312" w:hAnsi="华文仿宋" w:eastAsia="仿宋_GB2312" w:cs="Times New Roman"/>
          <w:sz w:val="32"/>
        </w:rPr>
        <w:t>2019年度基层医疗机构综合改革专项经费</w:t>
      </w:r>
      <w:r>
        <w:rPr>
          <w:rFonts w:hint="eastAsia" w:ascii="仿宋_GB2312" w:hAnsi="华文仿宋" w:eastAsia="仿宋_GB2312" w:cs="Times New Roman"/>
          <w:sz w:val="32"/>
        </w:rPr>
        <w:t>项目”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hAnsi="华文仿宋" w:eastAsia="仿宋_GB2312" w:cs="Times New Roman"/>
          <w:sz w:val="32"/>
        </w:rPr>
        <w:t>社会力量办社区卫生服务机构考核成绩平均分指标均低于目标值。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4、满意度调查力度不足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</w:rPr>
        <w:t>在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评价中</w:t>
      </w:r>
      <w:r>
        <w:rPr>
          <w:rFonts w:hint="eastAsia" w:ascii="仿宋_GB2312" w:hAnsi="华文仿宋" w:eastAsia="仿宋_GB2312" w:cs="Times New Roman"/>
          <w:sz w:val="32"/>
        </w:rPr>
        <w:t>核实各项目的群众满意度调查数据时，发现个别项目的调查覆盖面不足，抽样比例过低，调查结果代表性有限。如“</w:t>
      </w:r>
      <w:r>
        <w:rPr>
          <w:rFonts w:ascii="仿宋_GB2312" w:hAnsi="华文仿宋" w:eastAsia="仿宋_GB2312" w:cs="Times New Roman"/>
          <w:sz w:val="32"/>
        </w:rPr>
        <w:t>2019年度海珠区民政局长寿金项目</w:t>
      </w:r>
      <w:r>
        <w:rPr>
          <w:rFonts w:hint="eastAsia" w:ascii="仿宋_GB2312" w:hAnsi="华文仿宋" w:eastAsia="仿宋_GB2312" w:cs="Times New Roman"/>
          <w:sz w:val="32"/>
        </w:rPr>
        <w:t>”满意度调查人数只占补贴人数的约</w:t>
      </w:r>
      <w:r>
        <w:rPr>
          <w:rFonts w:ascii="仿宋_GB2312" w:hAnsi="华文仿宋" w:eastAsia="仿宋_GB2312" w:cs="Times New Roman"/>
          <w:sz w:val="32"/>
        </w:rPr>
        <w:t>0.2%</w:t>
      </w:r>
      <w:r>
        <w:rPr>
          <w:rFonts w:hint="eastAsia" w:ascii="仿宋_GB2312" w:hAnsi="华文仿宋" w:eastAsia="仿宋_GB2312" w:cs="Times New Roman"/>
          <w:sz w:val="32"/>
        </w:rPr>
        <w:t>、“</w:t>
      </w:r>
      <w:r>
        <w:rPr>
          <w:rFonts w:ascii="仿宋_GB2312" w:hAnsi="华文仿宋" w:eastAsia="仿宋_GB2312" w:cs="Times New Roman"/>
          <w:sz w:val="32"/>
        </w:rPr>
        <w:t>2019年度独生子女父母奖励费项目</w:t>
      </w:r>
      <w:r>
        <w:rPr>
          <w:rFonts w:hint="eastAsia" w:ascii="仿宋_GB2312" w:hAnsi="华文仿宋" w:eastAsia="仿宋_GB2312" w:cs="Times New Roman"/>
          <w:sz w:val="32"/>
        </w:rPr>
        <w:t>”</w:t>
      </w:r>
      <w:r>
        <w:rPr>
          <w:rFonts w:hint="eastAsia"/>
        </w:rPr>
        <w:t xml:space="preserve"> </w:t>
      </w:r>
      <w:r>
        <w:rPr>
          <w:rFonts w:hint="eastAsia" w:ascii="仿宋_GB2312" w:hAnsi="华文仿宋" w:eastAsia="仿宋_GB2312" w:cs="Times New Roman"/>
          <w:sz w:val="32"/>
        </w:rPr>
        <w:t>满意度调查人数只占补贴人数的约</w:t>
      </w:r>
      <w:r>
        <w:rPr>
          <w:rFonts w:ascii="仿宋_GB2312" w:hAnsi="华文仿宋" w:eastAsia="仿宋_GB2312" w:cs="Times New Roman"/>
          <w:sz w:val="32"/>
        </w:rPr>
        <w:t>0.11%</w:t>
      </w:r>
      <w:r>
        <w:rPr>
          <w:rFonts w:hint="eastAsia" w:ascii="仿宋_GB2312" w:hAnsi="华文仿宋" w:eastAsia="仿宋_GB2312" w:cs="Times New Roman"/>
          <w:sz w:val="32"/>
        </w:rPr>
        <w:t>。而“</w:t>
      </w:r>
      <w:r>
        <w:rPr>
          <w:rFonts w:ascii="仿宋_GB2312" w:hAnsi="华文仿宋" w:eastAsia="仿宋_GB2312" w:cs="Times New Roman"/>
          <w:sz w:val="32"/>
        </w:rPr>
        <w:t>2019年度市级就业补助资金项目</w:t>
      </w:r>
      <w:r>
        <w:rPr>
          <w:rFonts w:hint="eastAsia" w:ascii="仿宋_GB2312" w:hAnsi="华文仿宋" w:eastAsia="仿宋_GB2312" w:cs="Times New Roman"/>
          <w:sz w:val="32"/>
        </w:rPr>
        <w:t>”在当年并未开展有效的满意度调查工作。</w:t>
      </w:r>
    </w:p>
    <w:p>
      <w:pPr>
        <w:spacing w:line="560" w:lineRule="exact"/>
        <w:rPr>
          <w:rFonts w:hint="eastAsia" w:ascii="仿宋_GB2312" w:hAnsi="华文仿宋" w:eastAsia="仿宋_GB2312" w:cs="Times New Roman"/>
          <w:sz w:val="32"/>
          <w:lang w:eastAsia="zh-CN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（三）第三方评价机构对重点部门和重点项目绩效评价管理工作的建议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1、</w:t>
      </w:r>
      <w:r>
        <w:rPr>
          <w:rFonts w:hint="eastAsia" w:ascii="仿宋_GB2312" w:hAnsi="华文仿宋" w:eastAsia="仿宋_GB2312" w:cs="Times New Roman"/>
          <w:sz w:val="32"/>
        </w:rPr>
        <w:t>绩效指标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需要进一步细化</w:t>
      </w:r>
      <w:r>
        <w:rPr>
          <w:rFonts w:hint="eastAsia" w:ascii="仿宋_GB2312" w:hAnsi="华文仿宋" w:eastAsia="仿宋_GB2312" w:cs="Times New Roman"/>
          <w:sz w:val="32"/>
        </w:rPr>
        <w:t>，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便于</w:t>
      </w:r>
      <w:r>
        <w:rPr>
          <w:rFonts w:hint="eastAsia" w:ascii="仿宋_GB2312" w:hAnsi="华文仿宋" w:eastAsia="仿宋_GB2312" w:cs="Times New Roman"/>
          <w:sz w:val="32"/>
        </w:rPr>
        <w:t>对项目具体实施情况进行考评。因此建议为本项目设置细致的绩效指标，便于开展项目绩效目标管理工作。而且绩效目标与绩效指标应该全面对应项目当年的计划工作内容，其中核心工作内容都应设有对应的绩效指标进行考核，保障指标设置的严谨性。</w:t>
      </w:r>
    </w:p>
    <w:p>
      <w:pPr>
        <w:spacing w:line="560" w:lineRule="exact"/>
        <w:ind w:firstLine="640" w:firstLineChars="20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2、</w:t>
      </w:r>
      <w:r>
        <w:rPr>
          <w:rFonts w:hint="eastAsia" w:ascii="仿宋_GB2312" w:hAnsi="华文仿宋" w:eastAsia="仿宋_GB2312" w:cs="Times New Roman"/>
          <w:sz w:val="32"/>
        </w:rPr>
        <w:t>对项目实施情况与资金支出情况进行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要</w:t>
      </w:r>
      <w:r>
        <w:rPr>
          <w:rFonts w:hint="eastAsia" w:ascii="仿宋_GB2312" w:hAnsi="华文仿宋" w:eastAsia="仿宋_GB2312" w:cs="Times New Roman"/>
          <w:sz w:val="32"/>
        </w:rPr>
        <w:t>全过程跟踪监控，确保项目实施效果能达到当初设定的绩效目标。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部门在预算执行过程中，要</w:t>
      </w:r>
      <w:r>
        <w:rPr>
          <w:rFonts w:hint="eastAsia" w:ascii="仿宋_GB2312" w:hAnsi="华文仿宋" w:eastAsia="仿宋_GB2312" w:cs="Times New Roman"/>
          <w:sz w:val="32"/>
        </w:rPr>
        <w:t>严格根据</w:t>
      </w:r>
      <w:r>
        <w:rPr>
          <w:rFonts w:hint="eastAsia" w:ascii="仿宋_GB2312" w:hAnsi="华文仿宋" w:eastAsia="仿宋_GB2312" w:cs="Times New Roman"/>
          <w:sz w:val="32"/>
          <w:lang w:eastAsia="zh-CN"/>
        </w:rPr>
        <w:t>部门的年度</w:t>
      </w:r>
      <w:r>
        <w:rPr>
          <w:rFonts w:hint="eastAsia" w:ascii="仿宋_GB2312" w:hAnsi="华文仿宋" w:eastAsia="仿宋_GB2312" w:cs="Times New Roman"/>
          <w:sz w:val="32"/>
        </w:rPr>
        <w:t>工作计划开展完成工作任务，在达到付款条件时应及时呈批付款，提高项目预算使用效率。在年内确定无法支付的预算资金应及时进行调整，提高预算执行率，令预算资金能用到实处，避免浪费预算额度。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3、</w:t>
      </w:r>
      <w:r>
        <w:rPr>
          <w:rFonts w:hint="eastAsia" w:ascii="仿宋_GB2312" w:hAnsi="华文仿宋" w:eastAsia="仿宋_GB2312" w:cs="Times New Roman"/>
          <w:sz w:val="32"/>
        </w:rPr>
        <w:t>在已设置合理的绩效指标的前提下，应严格落实工作计划，提高各绩效指标的完成率。在项目开展前做好前期调研与规划，明确工作计划，在实施过程中定期进行运行情况监控。不断优化各项目的管理流程与操作规范，提高项目执行效率，为按目标完成工作任务创造条件。结合绩效运行监控与绩效评价结果，及时调整工作重心。对进度缓慢或完成情况不理想的项目或工作内容进行及时检讨，理清其管理责任，提高项目管理水平，力求在后续工作中能顺利完成目标。</w:t>
      </w:r>
    </w:p>
    <w:p>
      <w:pPr>
        <w:spacing w:line="560" w:lineRule="exact"/>
        <w:ind w:firstLine="640"/>
        <w:rPr>
          <w:rFonts w:hint="eastAsia" w:ascii="仿宋_GB2312" w:hAnsi="华文仿宋" w:eastAsia="仿宋_GB2312" w:cs="Times New Roman"/>
          <w:sz w:val="32"/>
        </w:rPr>
      </w:pPr>
      <w:r>
        <w:rPr>
          <w:rFonts w:hint="eastAsia" w:ascii="仿宋_GB2312" w:hAnsi="华文仿宋" w:eastAsia="仿宋_GB2312" w:cs="Times New Roman"/>
          <w:sz w:val="32"/>
          <w:lang w:val="en-US" w:eastAsia="zh-CN"/>
        </w:rPr>
        <w:t>4、部分项</w:t>
      </w:r>
      <w:r>
        <w:rPr>
          <w:rFonts w:hint="eastAsia" w:ascii="仿宋_GB2312" w:hAnsi="华文仿宋" w:eastAsia="仿宋_GB2312" w:cs="Times New Roman"/>
          <w:sz w:val="32"/>
        </w:rPr>
        <w:t>目有具体明确的受众群体，因此收集群众的意见显得尤为重要。但目前该项目的满意度调查力度十分有限，建议在该方面进一步拓展深度与广度。一是建议扩大满意度调查的范围，满意度调查的对象应涵盖所有的服务对象；二是建议丰富调查的内容，以利于改进工作。针对群众反映的各项意见与建议，应给予重视，及时调整工作重点。</w:t>
      </w:r>
    </w:p>
    <w:p>
      <w:pPr>
        <w:pStyle w:val="2"/>
        <w:spacing w:line="560" w:lineRule="exac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 xml:space="preserve">   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特此报告</w:t>
      </w:r>
    </w:p>
    <w:p>
      <w:pPr>
        <w:pStyle w:val="2"/>
        <w:spacing w:line="560" w:lineRule="exac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附：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海珠区民政局2019年部门整体支出绩效评价报告</w:t>
      </w:r>
    </w:p>
    <w:p>
      <w:pPr>
        <w:pStyle w:val="2"/>
        <w:spacing w:line="560" w:lineRule="exact"/>
        <w:ind w:firstLine="640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2、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海珠区人社局2019年部门整体支出绩效评价报告</w:t>
      </w:r>
    </w:p>
    <w:p>
      <w:pPr>
        <w:pStyle w:val="2"/>
        <w:spacing w:line="560" w:lineRule="exact"/>
        <w:ind w:firstLine="640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3、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海珠区教育局2019年部门整体支出绩效评价报告</w:t>
      </w:r>
    </w:p>
    <w:p>
      <w:pPr>
        <w:pStyle w:val="2"/>
        <w:spacing w:line="560" w:lineRule="exact"/>
        <w:ind w:firstLine="640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4、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海珠区科工商信局2019年部门整体支出绩效评价报告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5、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海珠区退役军人事务局2019年部门整体支出绩效评价报告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6、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广州市海珠区公安分局2019年部门整体支出绩效评价报告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7、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海珠区卫健局2019年部门整体支出绩效评价报告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8、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海珠区城管局2019年部门整体支出绩效评价报告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9、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海珠区城管局重点项目（城维计划-2019年环卫购置经费）绩效评价报告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10、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海珠区公安分局重点项目（公安综合管理业务工作经费）绩效评价报告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11、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海珠区教育局重点项目（城乡免费义务教育公用经费和课本费补助资金）绩效评价报告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12、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海珠区教育局重点项目（市教育局学前教育财政补助）绩效评价报告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13、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海珠区科工商信局重点项目（2019年度企业奖励专项资金项目）绩效评价报告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14、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海珠区科工商信局重点项目（2019年度人才奖励资金）绩效评价报告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15、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海珠区民政局重点项目（困难残疾人生活补贴和重度残疾人护理补贴）绩效评价报告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16、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海珠区民政局重点项目（长寿金）绩效评价报告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17、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海珠区民政局重点项目（最低生活保障）绩效评价报告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18、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海珠区人社局重点项目（市级就业补助资金）绩效评价报告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19、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海珠区退役军人事务局重点项目（无军籍退休人员退休费和地方性津贴）绩效评价报告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20、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海珠区卫健局重点项目（独生子女父母奖励费）绩效评价报告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21、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海珠区卫健局重点项目（计划生育家庭特别扶助金）绩效评价报告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22、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海珠区卫健局重点项目（第二类疫苗采购经费项目）绩效评价报告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>23、</w:t>
      </w: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  <w:t>海珠区卫健局重点项目（基层医疗机构综合改革专项经费）绩效评价报告</w:t>
      </w: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eastAsia="zh-CN" w:bidi="ar-SA"/>
        </w:rPr>
      </w:pPr>
    </w:p>
    <w:p>
      <w:pPr>
        <w:spacing w:beforeLines="0" w:afterLines="0" w:line="560" w:lineRule="exact"/>
        <w:ind w:firstLine="640"/>
        <w:jc w:val="left"/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 xml:space="preserve">                        海珠区财政局</w:t>
      </w:r>
    </w:p>
    <w:p>
      <w:pPr>
        <w:spacing w:beforeLines="0" w:afterLines="0" w:line="560" w:lineRule="exact"/>
        <w:ind w:firstLine="640"/>
        <w:jc w:val="left"/>
        <w:rPr>
          <w:rFonts w:hint="default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华文仿宋" w:eastAsia="仿宋_GB2312" w:cs="Times New Roman"/>
          <w:b w:val="0"/>
          <w:kern w:val="2"/>
          <w:sz w:val="32"/>
          <w:szCs w:val="22"/>
          <w:lang w:val="en-US" w:eastAsia="zh-CN" w:bidi="ar-SA"/>
        </w:rPr>
        <w:t xml:space="preserve">                      2020年10月27日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F7A1D"/>
    <w:rsid w:val="71FF7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2020-11-26T02:07:00Z</dcterms:created>
  <dc:creator>黄文静</dc:creator>
  <cp:lastModifiedBy>黄文静</cp:lastModifiedBy>
  <dcterms:modified xsi:type="dcterms:W3CDTF">2020-11-26T02:08:22Z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