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textAlignment w:val="center"/>
        <w:rPr>
          <w:rFonts w:ascii="方正小标宋简体" w:hAnsi="Times New Roman" w:eastAsia="方正小标宋简体" w:cs="Times New Roman"/>
          <w:snapToGrid w:val="0"/>
          <w:color w:val="000000"/>
          <w:sz w:val="44"/>
          <w:szCs w:val="44"/>
        </w:rPr>
      </w:pPr>
      <w:r>
        <w:rPr>
          <w:rFonts w:hint="eastAsia" w:ascii="方正小标宋简体" w:hAnsi="Times New Roman" w:eastAsia="方正小标宋简体" w:cs="方正小标宋简体"/>
          <w:snapToGrid w:val="0"/>
          <w:color w:val="000000"/>
          <w:sz w:val="44"/>
          <w:szCs w:val="44"/>
        </w:rPr>
        <w:t>本次检验项目</w:t>
      </w:r>
    </w:p>
    <w:tbl>
      <w:tblPr>
        <w:tblStyle w:val="9"/>
        <w:tblW w:w="139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8"/>
        <w:gridCol w:w="1077"/>
        <w:gridCol w:w="1113"/>
        <w:gridCol w:w="1215"/>
        <w:gridCol w:w="1185"/>
        <w:gridCol w:w="4725"/>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558" w:type="dxa"/>
            <w:vMerge w:val="restart"/>
            <w:vAlign w:val="center"/>
          </w:tcPr>
          <w:p>
            <w:pPr>
              <w:widowControl/>
              <w:snapToGrid w:val="0"/>
              <w:spacing w:line="360" w:lineRule="exact"/>
              <w:jc w:val="center"/>
              <w:textAlignment w:val="center"/>
              <w:rPr>
                <w:rFonts w:ascii="宋体" w:cs="宋体"/>
                <w:color w:val="000000"/>
                <w:sz w:val="18"/>
                <w:szCs w:val="18"/>
              </w:rPr>
            </w:pPr>
            <w:r>
              <w:rPr>
                <w:rFonts w:hint="eastAsia" w:ascii="宋体" w:hAnsi="宋体" w:cs="宋体"/>
                <w:b/>
                <w:bCs/>
                <w:color w:val="000000"/>
                <w:kern w:val="0"/>
                <w:sz w:val="18"/>
                <w:szCs w:val="18"/>
              </w:rPr>
              <w:t>序号</w:t>
            </w:r>
          </w:p>
        </w:tc>
        <w:tc>
          <w:tcPr>
            <w:tcW w:w="1077" w:type="dxa"/>
            <w:vAlign w:val="center"/>
          </w:tcPr>
          <w:p>
            <w:pPr>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食品大类</w:t>
            </w:r>
          </w:p>
        </w:tc>
        <w:tc>
          <w:tcPr>
            <w:tcW w:w="1113" w:type="dxa"/>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食品亚类</w:t>
            </w:r>
          </w:p>
        </w:tc>
        <w:tc>
          <w:tcPr>
            <w:tcW w:w="1215" w:type="dxa"/>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食品品种</w:t>
            </w:r>
          </w:p>
        </w:tc>
        <w:tc>
          <w:tcPr>
            <w:tcW w:w="1185" w:type="dxa"/>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食品细类</w:t>
            </w:r>
          </w:p>
        </w:tc>
        <w:tc>
          <w:tcPr>
            <w:tcW w:w="4725" w:type="dxa"/>
            <w:vMerge w:val="restart"/>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抽检依据</w:t>
            </w:r>
          </w:p>
        </w:tc>
        <w:tc>
          <w:tcPr>
            <w:tcW w:w="4099" w:type="dxa"/>
            <w:vMerge w:val="restart"/>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558" w:type="dxa"/>
            <w:vMerge w:val="continue"/>
            <w:vAlign w:val="center"/>
          </w:tcPr>
          <w:p>
            <w:pPr>
              <w:widowControl/>
              <w:snapToGrid w:val="0"/>
              <w:spacing w:line="360" w:lineRule="exact"/>
              <w:jc w:val="center"/>
              <w:rPr>
                <w:rFonts w:ascii="宋体" w:cs="宋体"/>
                <w:color w:val="000000"/>
                <w:sz w:val="18"/>
                <w:szCs w:val="18"/>
              </w:rPr>
            </w:pPr>
          </w:p>
        </w:tc>
        <w:tc>
          <w:tcPr>
            <w:tcW w:w="1077" w:type="dxa"/>
            <w:vAlign w:val="center"/>
          </w:tcPr>
          <w:p>
            <w:pPr>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（一级）</w:t>
            </w:r>
          </w:p>
        </w:tc>
        <w:tc>
          <w:tcPr>
            <w:tcW w:w="1113" w:type="dxa"/>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（二级）</w:t>
            </w:r>
          </w:p>
        </w:tc>
        <w:tc>
          <w:tcPr>
            <w:tcW w:w="1215" w:type="dxa"/>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（三级）</w:t>
            </w:r>
          </w:p>
        </w:tc>
        <w:tc>
          <w:tcPr>
            <w:tcW w:w="1185" w:type="dxa"/>
            <w:vAlign w:val="center"/>
          </w:tcPr>
          <w:p>
            <w:pPr>
              <w:widowControl/>
              <w:snapToGrid w:val="0"/>
              <w:spacing w:line="36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（四级）</w:t>
            </w:r>
          </w:p>
        </w:tc>
        <w:tc>
          <w:tcPr>
            <w:tcW w:w="4725" w:type="dxa"/>
            <w:vMerge w:val="continue"/>
            <w:vAlign w:val="center"/>
          </w:tcPr>
          <w:p>
            <w:pPr>
              <w:widowControl/>
              <w:snapToGrid w:val="0"/>
              <w:spacing w:line="360" w:lineRule="exact"/>
              <w:jc w:val="center"/>
              <w:rPr>
                <w:rFonts w:ascii="宋体" w:cs="宋体"/>
                <w:b/>
                <w:bCs/>
                <w:color w:val="000000"/>
                <w:sz w:val="18"/>
                <w:szCs w:val="18"/>
              </w:rPr>
            </w:pPr>
          </w:p>
        </w:tc>
        <w:tc>
          <w:tcPr>
            <w:tcW w:w="4099" w:type="dxa"/>
            <w:vMerge w:val="continue"/>
            <w:vAlign w:val="center"/>
          </w:tcPr>
          <w:p>
            <w:pPr>
              <w:widowControl/>
              <w:snapToGrid w:val="0"/>
              <w:spacing w:line="360" w:lineRule="exact"/>
              <w:jc w:val="center"/>
              <w:rPr>
                <w:rFonts w:ascii="宋体" w:cs="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restart"/>
            <w:vAlign w:val="center"/>
          </w:tcPr>
          <w:p>
            <w:pPr>
              <w:widowControl/>
              <w:snapToGrid w:val="0"/>
              <w:spacing w:line="360" w:lineRule="exact"/>
              <w:jc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w:t>
            </w:r>
          </w:p>
        </w:tc>
        <w:tc>
          <w:tcPr>
            <w:tcW w:w="1077" w:type="dxa"/>
            <w:vMerge w:val="restart"/>
            <w:vAlign w:val="center"/>
          </w:tcPr>
          <w:p>
            <w:pPr>
              <w:widowControl/>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color w:val="000000"/>
                <w:sz w:val="18"/>
                <w:szCs w:val="18"/>
                <w:lang w:eastAsia="zh-CN"/>
              </w:rPr>
              <w:t>餐饮食品</w:t>
            </w:r>
          </w:p>
        </w:tc>
        <w:tc>
          <w:tcPr>
            <w:tcW w:w="1113" w:type="dxa"/>
            <w:vAlign w:val="center"/>
          </w:tcPr>
          <w:p>
            <w:pPr>
              <w:widowControl/>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sz w:val="18"/>
                <w:szCs w:val="18"/>
              </w:rPr>
              <w:t>餐饮具</w:t>
            </w:r>
          </w:p>
        </w:tc>
        <w:tc>
          <w:tcPr>
            <w:tcW w:w="1215" w:type="dxa"/>
            <w:vAlign w:val="center"/>
          </w:tcPr>
          <w:p>
            <w:pPr>
              <w:widowControl/>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sz w:val="18"/>
                <w:szCs w:val="18"/>
              </w:rPr>
              <w:t>复用餐饮具</w:t>
            </w:r>
          </w:p>
        </w:tc>
        <w:tc>
          <w:tcPr>
            <w:tcW w:w="1185" w:type="dxa"/>
            <w:vAlign w:val="center"/>
          </w:tcPr>
          <w:p>
            <w:pPr>
              <w:widowControl/>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sz w:val="18"/>
                <w:szCs w:val="18"/>
              </w:rPr>
              <w:t>复用餐饮具</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GB 14934-2016中华人民共和国国家标准食（饮）具消毒卫生标准</w:t>
            </w:r>
          </w:p>
        </w:tc>
        <w:tc>
          <w:tcPr>
            <w:tcW w:w="4099"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大肠菌群50cm2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color w:val="000000"/>
                <w:sz w:val="18"/>
                <w:szCs w:val="18"/>
                <w:lang w:eastAsia="zh-CN"/>
              </w:rPr>
            </w:pPr>
          </w:p>
        </w:tc>
        <w:tc>
          <w:tcPr>
            <w:tcW w:w="1113" w:type="dxa"/>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米面及其制品(自制）</w:t>
            </w:r>
          </w:p>
        </w:tc>
        <w:tc>
          <w:tcPr>
            <w:tcW w:w="1215" w:type="dxa"/>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小麦粉制品(自制)</w:t>
            </w:r>
          </w:p>
        </w:tc>
        <w:tc>
          <w:tcPr>
            <w:tcW w:w="1185" w:type="dxa"/>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油炸面制品(自制）</w:t>
            </w:r>
          </w:p>
        </w:tc>
        <w:tc>
          <w:tcPr>
            <w:tcW w:w="4725" w:type="dxa"/>
            <w:vAlign w:val="center"/>
          </w:tcPr>
          <w:p>
            <w:pPr>
              <w:widowControl/>
              <w:snapToGrid w:val="0"/>
              <w:spacing w:line="360" w:lineRule="exact"/>
              <w:jc w:val="center"/>
              <w:rPr>
                <w:rFonts w:hint="eastAsia" w:asciiTheme="majorEastAsia" w:hAnsiTheme="majorEastAsia" w:eastAsiaTheme="majorEastAsia" w:cstheme="majorEastAsia"/>
                <w:b w:val="0"/>
                <w:bCs w:val="0"/>
                <w:color w:val="000000"/>
                <w:sz w:val="18"/>
                <w:szCs w:val="18"/>
                <w:lang w:eastAsia="zh-CN"/>
              </w:rPr>
            </w:pPr>
            <w:r>
              <w:rPr>
                <w:rFonts w:hint="eastAsia" w:asciiTheme="majorEastAsia" w:hAnsiTheme="majorEastAsia" w:eastAsiaTheme="majorEastAsia" w:cstheme="majorEastAsia"/>
                <w:b w:val="0"/>
                <w:bCs w:val="0"/>
                <w:color w:val="000000"/>
                <w:sz w:val="18"/>
                <w:szCs w:val="18"/>
                <w:lang w:eastAsia="zh-CN"/>
              </w:rPr>
              <w:t>GB 2762-2017《食品安全国家标准 食品中污染物限量》</w:t>
            </w:r>
          </w:p>
          <w:p>
            <w:pPr>
              <w:widowControl/>
              <w:snapToGrid w:val="0"/>
              <w:spacing w:line="360" w:lineRule="exact"/>
              <w:jc w:val="center"/>
              <w:rPr>
                <w:rFonts w:hint="eastAsia" w:ascii="宋体" w:hAnsi="宋体" w:cs="宋体"/>
                <w:color w:val="000000"/>
                <w:sz w:val="18"/>
                <w:szCs w:val="18"/>
              </w:rPr>
            </w:pPr>
            <w:r>
              <w:rPr>
                <w:rFonts w:hint="eastAsia" w:asciiTheme="majorEastAsia" w:hAnsiTheme="majorEastAsia" w:eastAsiaTheme="majorEastAsia" w:cstheme="majorEastAsia"/>
                <w:b w:val="0"/>
                <w:bCs w:val="0"/>
                <w:color w:val="000000"/>
                <w:sz w:val="18"/>
                <w:szCs w:val="18"/>
                <w:lang w:eastAsia="zh-CN"/>
              </w:rPr>
              <w:t>GB 2760-2014《食品安全国家标准 食品添加剂使用标准》</w:t>
            </w:r>
          </w:p>
        </w:tc>
        <w:tc>
          <w:tcPr>
            <w:tcW w:w="4099" w:type="dxa"/>
            <w:vAlign w:val="center"/>
          </w:tcPr>
          <w:p>
            <w:pPr>
              <w:widowControl/>
              <w:snapToGrid w:val="0"/>
              <w:spacing w:line="360" w:lineRule="exact"/>
              <w:jc w:val="center"/>
              <w:rPr>
                <w:rFonts w:hint="eastAsia" w:ascii="宋体" w:hAnsi="宋体" w:cs="宋体"/>
                <w:color w:val="000000"/>
                <w:sz w:val="18"/>
                <w:szCs w:val="18"/>
              </w:rPr>
            </w:pPr>
            <w:r>
              <w:rPr>
                <w:rFonts w:hint="eastAsia" w:asciiTheme="majorEastAsia" w:hAnsiTheme="majorEastAsia" w:eastAsiaTheme="majorEastAsia" w:cstheme="majorEastAsia"/>
                <w:b w:val="0"/>
                <w:bCs w:val="0"/>
                <w:i w:val="0"/>
                <w:color w:val="000000"/>
                <w:kern w:val="0"/>
                <w:sz w:val="18"/>
                <w:szCs w:val="18"/>
                <w:u w:val="none"/>
                <w:lang w:val="en-US" w:eastAsia="zh-CN" w:bidi="ar"/>
              </w:rPr>
              <w:t>铝的残留量（干样品，以 Al 计）、铅（以 Pb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restart"/>
            <w:vAlign w:val="center"/>
          </w:tcPr>
          <w:p>
            <w:pPr>
              <w:keepNext w:val="0"/>
              <w:keepLines w:val="0"/>
              <w:widowControl/>
              <w:suppressLineNumbers w:val="0"/>
              <w:jc w:val="center"/>
              <w:textAlignment w:val="center"/>
              <w:rPr>
                <w:rFonts w:hint="eastAsia" w:ascii="宋体" w:hAnsi="宋体" w:cs="宋体"/>
                <w:color w:val="auto"/>
                <w:kern w:val="2"/>
                <w:sz w:val="18"/>
                <w:szCs w:val="18"/>
                <w:lang w:val="en-US" w:eastAsia="zh-CN" w:bidi="ar-SA"/>
              </w:rPr>
            </w:pPr>
            <w:r>
              <w:rPr>
                <w:rFonts w:hint="eastAsia" w:ascii="宋体" w:hAnsi="宋体" w:cs="宋体"/>
                <w:i w:val="0"/>
                <w:iCs w:val="0"/>
                <w:color w:val="000000"/>
                <w:kern w:val="0"/>
                <w:sz w:val="18"/>
                <w:szCs w:val="18"/>
                <w:u w:val="none"/>
                <w:lang w:val="en-US" w:eastAsia="zh-CN" w:bidi="ar"/>
              </w:rPr>
              <w:t>2</w:t>
            </w:r>
          </w:p>
        </w:tc>
        <w:tc>
          <w:tcPr>
            <w:tcW w:w="1077" w:type="dxa"/>
            <w:vMerge w:val="restart"/>
            <w:vAlign w:val="center"/>
          </w:tcPr>
          <w:p>
            <w:pPr>
              <w:keepNext w:val="0"/>
              <w:keepLines w:val="0"/>
              <w:widowControl/>
              <w:suppressLineNumbers w:val="0"/>
              <w:jc w:val="center"/>
              <w:textAlignment w:val="center"/>
              <w:rPr>
                <w:rFonts w:hint="eastAsia" w:ascii="宋体" w:hAnsi="宋体" w:cs="宋体"/>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食用农产品</w:t>
            </w:r>
          </w:p>
        </w:tc>
        <w:tc>
          <w:tcPr>
            <w:tcW w:w="1113"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畜禽肉及副产品</w:t>
            </w:r>
          </w:p>
        </w:tc>
        <w:tc>
          <w:tcPr>
            <w:tcW w:w="12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畜肉</w:t>
            </w:r>
          </w:p>
        </w:tc>
        <w:tc>
          <w:tcPr>
            <w:tcW w:w="11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猪肉</w:t>
            </w:r>
          </w:p>
        </w:tc>
        <w:tc>
          <w:tcPr>
            <w:tcW w:w="4725"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 xml:space="preserve">GB 2707-2016《食品安全国家标准 鲜(冻)畜、禽产品》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GB 31650-2019《食品安全国家标准 食品中兽药最大残留限量》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农业农村部公告 第250号《食品动物中禁止使用的药品及其他化合物清单》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整顿办函〔2010〕50 号 《食品中可能违法添加的非食用物质和易滥用的食品添加剂名单（第四批）》 </w:t>
            </w:r>
          </w:p>
        </w:tc>
        <w:tc>
          <w:tcPr>
            <w:tcW w:w="409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磺胺类（总量）、恩诺沙星、氯霉素、沙丁胺醇、挥发性盐基氮、甲氧苄啶、五氯酚酸钠（以五氯酚计）、氟苯尼考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jc w:val="center"/>
              <w:rPr>
                <w:rFonts w:hint="eastAsia" w:ascii="宋体" w:hAnsi="宋体" w:cs="宋体"/>
                <w:color w:val="auto"/>
                <w:kern w:val="2"/>
                <w:sz w:val="18"/>
                <w:szCs w:val="18"/>
                <w:lang w:val="en-US" w:eastAsia="zh-CN" w:bidi="ar-SA"/>
              </w:rPr>
            </w:pPr>
          </w:p>
        </w:tc>
        <w:tc>
          <w:tcPr>
            <w:tcW w:w="1077" w:type="dxa"/>
            <w:vMerge w:val="continue"/>
            <w:vAlign w:val="center"/>
          </w:tcPr>
          <w:p>
            <w:pPr>
              <w:jc w:val="center"/>
              <w:rPr>
                <w:rFonts w:hint="eastAsia" w:ascii="宋体" w:hAnsi="宋体" w:cs="宋体"/>
                <w:color w:val="000000"/>
                <w:sz w:val="18"/>
                <w:szCs w:val="18"/>
                <w:lang w:eastAsia="zh-CN"/>
              </w:rPr>
            </w:pPr>
          </w:p>
        </w:tc>
        <w:tc>
          <w:tcPr>
            <w:tcW w:w="1113"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畜肉</w:t>
            </w:r>
          </w:p>
        </w:tc>
        <w:tc>
          <w:tcPr>
            <w:tcW w:w="11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牛肉</w:t>
            </w:r>
          </w:p>
        </w:tc>
        <w:tc>
          <w:tcPr>
            <w:tcW w:w="4725"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 xml:space="preserve">GB 2707-2016《食品安全国家标准 鲜(冻)畜、禽产品》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GB 31650-2019《食品安全国家标准 食品中兽药最大残留限量》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农业农村部公告 第250号《食品动物中禁止使用的药品及其他化合物清单》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整顿办函〔2010〕50 号 《食品中可能违法添加的非食用物质和易滥用的食品添加剂名单（第四批）》 </w:t>
            </w:r>
          </w:p>
        </w:tc>
        <w:tc>
          <w:tcPr>
            <w:tcW w:w="409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克伦特罗、地塞米松、挥发性盐基氮、甲氧苄啶、五氯酚酸钠（以五氯酚计）、氟苯尼考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jc w:val="center"/>
              <w:rPr>
                <w:rFonts w:hint="eastAsia" w:ascii="宋体" w:hAnsi="宋体" w:cs="宋体"/>
                <w:color w:val="auto"/>
                <w:kern w:val="2"/>
                <w:sz w:val="18"/>
                <w:szCs w:val="18"/>
                <w:lang w:val="en-US" w:eastAsia="zh-CN" w:bidi="ar-SA"/>
              </w:rPr>
            </w:pPr>
          </w:p>
        </w:tc>
        <w:tc>
          <w:tcPr>
            <w:tcW w:w="1077" w:type="dxa"/>
            <w:vMerge w:val="continue"/>
            <w:vAlign w:val="center"/>
          </w:tcPr>
          <w:p>
            <w:pPr>
              <w:jc w:val="center"/>
              <w:rPr>
                <w:rFonts w:hint="eastAsia" w:ascii="宋体" w:hAnsi="宋体" w:cs="宋体"/>
                <w:color w:val="000000"/>
                <w:sz w:val="18"/>
                <w:szCs w:val="18"/>
                <w:lang w:eastAsia="zh-CN"/>
              </w:rPr>
            </w:pPr>
          </w:p>
        </w:tc>
        <w:tc>
          <w:tcPr>
            <w:tcW w:w="1113"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蔬菜</w:t>
            </w:r>
          </w:p>
        </w:tc>
        <w:tc>
          <w:tcPr>
            <w:tcW w:w="12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豆芽</w:t>
            </w:r>
          </w:p>
        </w:tc>
        <w:tc>
          <w:tcPr>
            <w:tcW w:w="11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豆芽</w:t>
            </w:r>
          </w:p>
        </w:tc>
        <w:tc>
          <w:tcPr>
            <w:tcW w:w="4725"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 xml:space="preserve">GB 22556-2008《豆芽卫生标准》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GB 2762-2017《食品安全国家标准 食品中污染物限量》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国家食品药品监督管理总局农业部国家卫生和计划生育委员会关于豆芽生产过程中禁止使用6-苄基腺嘌呤等物质的公告(2015年第11号) </w:t>
            </w:r>
          </w:p>
        </w:tc>
        <w:tc>
          <w:tcPr>
            <w:tcW w:w="409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4-氯苯氧乙酸钠（以4-氯苯氧乙酸计）、6-苄基腺嘌呤（6-BA）、亚硫酸盐（以SO₂计）、铅（以Pb计）、铬（以Cr计）、总汞（以Hg计）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jc w:val="center"/>
              <w:rPr>
                <w:rFonts w:hint="eastAsia" w:ascii="宋体" w:hAnsi="宋体" w:cs="宋体"/>
                <w:color w:val="auto"/>
                <w:kern w:val="2"/>
                <w:sz w:val="18"/>
                <w:szCs w:val="18"/>
                <w:lang w:val="en-US" w:eastAsia="zh-CN" w:bidi="ar-SA"/>
              </w:rPr>
            </w:pPr>
          </w:p>
        </w:tc>
        <w:tc>
          <w:tcPr>
            <w:tcW w:w="1077" w:type="dxa"/>
            <w:vMerge w:val="continue"/>
            <w:vAlign w:val="center"/>
          </w:tcPr>
          <w:p>
            <w:pPr>
              <w:jc w:val="center"/>
              <w:rPr>
                <w:rFonts w:hint="eastAsia" w:ascii="宋体" w:hAnsi="宋体" w:cs="宋体"/>
                <w:color w:val="000000"/>
                <w:sz w:val="18"/>
                <w:szCs w:val="18"/>
                <w:lang w:eastAsia="zh-CN"/>
              </w:rPr>
            </w:pPr>
          </w:p>
        </w:tc>
        <w:tc>
          <w:tcPr>
            <w:tcW w:w="1113"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鳞茎类蔬菜</w:t>
            </w:r>
          </w:p>
        </w:tc>
        <w:tc>
          <w:tcPr>
            <w:tcW w:w="11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韭菜</w:t>
            </w:r>
          </w:p>
        </w:tc>
        <w:tc>
          <w:tcPr>
            <w:tcW w:w="4725" w:type="dxa"/>
            <w:vMerge w:val="restart"/>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GB 2762-2017《食品安全国家标准 食品中污染物限量》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GB 2763-2019《食品安全国家标准 食品中农药最大残留限量》 </w:t>
            </w:r>
          </w:p>
        </w:tc>
        <w:tc>
          <w:tcPr>
            <w:tcW w:w="409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镉（以Cd计）、腐霉利、氯氟氰菊酯和高效氯氟氰菊酯、毒死蜱、氧乐果、克百威、啶虫脒、氟虫腈、水胺硫磷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jc w:val="center"/>
              <w:rPr>
                <w:rFonts w:hint="eastAsia" w:ascii="宋体" w:hAnsi="宋体" w:cs="宋体"/>
                <w:color w:val="auto"/>
                <w:kern w:val="2"/>
                <w:sz w:val="18"/>
                <w:szCs w:val="18"/>
                <w:lang w:val="en-US" w:eastAsia="zh-CN" w:bidi="ar-SA"/>
              </w:rPr>
            </w:pPr>
          </w:p>
        </w:tc>
        <w:tc>
          <w:tcPr>
            <w:tcW w:w="1077" w:type="dxa"/>
            <w:vMerge w:val="continue"/>
            <w:vAlign w:val="center"/>
          </w:tcPr>
          <w:p>
            <w:pPr>
              <w:jc w:val="center"/>
              <w:rPr>
                <w:rFonts w:hint="eastAsia" w:ascii="宋体" w:hAnsi="宋体" w:cs="宋体"/>
                <w:color w:val="000000"/>
                <w:sz w:val="18"/>
                <w:szCs w:val="18"/>
                <w:lang w:eastAsia="zh-CN"/>
              </w:rPr>
            </w:pPr>
          </w:p>
        </w:tc>
        <w:tc>
          <w:tcPr>
            <w:tcW w:w="1113"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叶菜类蔬菜</w:t>
            </w:r>
          </w:p>
        </w:tc>
        <w:tc>
          <w:tcPr>
            <w:tcW w:w="11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大白菜</w:t>
            </w:r>
          </w:p>
        </w:tc>
        <w:tc>
          <w:tcPr>
            <w:tcW w:w="4725" w:type="dxa"/>
            <w:vMerge w:val="continue"/>
            <w:vAlign w:val="center"/>
          </w:tcPr>
          <w:p>
            <w:pPr>
              <w:jc w:val="center"/>
              <w:rPr>
                <w:rFonts w:hint="eastAsia" w:asciiTheme="majorEastAsia" w:hAnsiTheme="majorEastAsia" w:eastAsiaTheme="majorEastAsia" w:cstheme="majorEastAsia"/>
                <w:b w:val="0"/>
                <w:bCs w:val="0"/>
                <w:color w:val="000000"/>
                <w:sz w:val="18"/>
                <w:szCs w:val="18"/>
                <w:lang w:eastAsia="zh-CN"/>
              </w:rPr>
            </w:pPr>
          </w:p>
        </w:tc>
        <w:tc>
          <w:tcPr>
            <w:tcW w:w="409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克百威、氧乐果、涕灭威、毒死蜱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jc w:val="center"/>
              <w:rPr>
                <w:rFonts w:hint="eastAsia" w:ascii="宋体" w:hAnsi="宋体" w:cs="宋体"/>
                <w:color w:val="auto"/>
                <w:kern w:val="2"/>
                <w:sz w:val="18"/>
                <w:szCs w:val="18"/>
                <w:lang w:val="en-US" w:eastAsia="zh-CN" w:bidi="ar-SA"/>
              </w:rPr>
            </w:pPr>
          </w:p>
        </w:tc>
        <w:tc>
          <w:tcPr>
            <w:tcW w:w="1077" w:type="dxa"/>
            <w:vMerge w:val="continue"/>
            <w:vAlign w:val="center"/>
          </w:tcPr>
          <w:p>
            <w:pPr>
              <w:jc w:val="center"/>
              <w:rPr>
                <w:rFonts w:hint="eastAsia" w:ascii="宋体" w:hAnsi="宋体" w:cs="宋体"/>
                <w:color w:val="000000"/>
                <w:sz w:val="18"/>
                <w:szCs w:val="18"/>
                <w:lang w:eastAsia="zh-CN"/>
              </w:rPr>
            </w:pPr>
          </w:p>
        </w:tc>
        <w:tc>
          <w:tcPr>
            <w:tcW w:w="1113"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瓜类蔬菜</w:t>
            </w:r>
          </w:p>
        </w:tc>
        <w:tc>
          <w:tcPr>
            <w:tcW w:w="11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黄瓜</w:t>
            </w:r>
          </w:p>
        </w:tc>
        <w:tc>
          <w:tcPr>
            <w:tcW w:w="4725" w:type="dxa"/>
            <w:vMerge w:val="continue"/>
            <w:vAlign w:val="center"/>
          </w:tcPr>
          <w:p>
            <w:pPr>
              <w:jc w:val="center"/>
              <w:rPr>
                <w:rFonts w:hint="eastAsia" w:asciiTheme="majorEastAsia" w:hAnsiTheme="majorEastAsia" w:eastAsiaTheme="majorEastAsia" w:cstheme="majorEastAsia"/>
                <w:b w:val="0"/>
                <w:bCs w:val="0"/>
                <w:color w:val="000000"/>
                <w:sz w:val="18"/>
                <w:szCs w:val="18"/>
                <w:lang w:eastAsia="zh-CN"/>
              </w:rPr>
            </w:pPr>
          </w:p>
        </w:tc>
        <w:tc>
          <w:tcPr>
            <w:tcW w:w="409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敌敌畏、毒死蜱、多菌灵、克百威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jc w:val="center"/>
              <w:rPr>
                <w:rFonts w:hint="eastAsia" w:ascii="宋体" w:hAnsi="宋体" w:cs="宋体"/>
                <w:color w:val="auto"/>
                <w:kern w:val="2"/>
                <w:sz w:val="18"/>
                <w:szCs w:val="18"/>
                <w:lang w:val="en-US" w:eastAsia="zh-CN" w:bidi="ar-SA"/>
              </w:rPr>
            </w:pPr>
          </w:p>
        </w:tc>
        <w:tc>
          <w:tcPr>
            <w:tcW w:w="1077" w:type="dxa"/>
            <w:vMerge w:val="continue"/>
            <w:vAlign w:val="center"/>
          </w:tcPr>
          <w:p>
            <w:pPr>
              <w:jc w:val="center"/>
              <w:rPr>
                <w:rFonts w:hint="eastAsia" w:ascii="宋体" w:hAnsi="宋体" w:cs="宋体"/>
                <w:color w:val="000000"/>
                <w:sz w:val="18"/>
                <w:szCs w:val="18"/>
                <w:lang w:eastAsia="zh-CN"/>
              </w:rPr>
            </w:pPr>
          </w:p>
        </w:tc>
        <w:tc>
          <w:tcPr>
            <w:tcW w:w="1113"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豆类蔬菜</w:t>
            </w:r>
          </w:p>
        </w:tc>
        <w:tc>
          <w:tcPr>
            <w:tcW w:w="11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豇豆</w:t>
            </w:r>
          </w:p>
        </w:tc>
        <w:tc>
          <w:tcPr>
            <w:tcW w:w="4725" w:type="dxa"/>
            <w:vMerge w:val="continue"/>
            <w:vAlign w:val="center"/>
          </w:tcPr>
          <w:p>
            <w:pPr>
              <w:jc w:val="center"/>
              <w:rPr>
                <w:rFonts w:hint="eastAsia" w:asciiTheme="majorEastAsia" w:hAnsiTheme="majorEastAsia" w:eastAsiaTheme="majorEastAsia" w:cstheme="majorEastAsia"/>
                <w:b w:val="0"/>
                <w:bCs w:val="0"/>
                <w:color w:val="000000"/>
                <w:sz w:val="18"/>
                <w:szCs w:val="18"/>
                <w:lang w:eastAsia="zh-CN"/>
              </w:rPr>
            </w:pPr>
          </w:p>
        </w:tc>
        <w:tc>
          <w:tcPr>
            <w:tcW w:w="409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灭蝇胺、克百威、氧乐果、水胺硫磷、灭多威、甲胺磷、啶虫脒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jc w:val="center"/>
              <w:rPr>
                <w:rFonts w:hint="eastAsia" w:ascii="宋体" w:hAnsi="宋体" w:cs="宋体"/>
                <w:color w:val="auto"/>
                <w:kern w:val="2"/>
                <w:sz w:val="18"/>
                <w:szCs w:val="18"/>
                <w:lang w:val="en-US" w:eastAsia="zh-CN" w:bidi="ar-SA"/>
              </w:rPr>
            </w:pPr>
          </w:p>
        </w:tc>
        <w:tc>
          <w:tcPr>
            <w:tcW w:w="1077" w:type="dxa"/>
            <w:vMerge w:val="continue"/>
            <w:vAlign w:val="center"/>
          </w:tcPr>
          <w:p>
            <w:pPr>
              <w:jc w:val="center"/>
              <w:rPr>
                <w:rFonts w:hint="eastAsia" w:ascii="宋体" w:hAnsi="宋体" w:cs="宋体"/>
                <w:color w:val="000000"/>
                <w:sz w:val="18"/>
                <w:szCs w:val="18"/>
                <w:lang w:eastAsia="zh-CN"/>
              </w:rPr>
            </w:pPr>
          </w:p>
        </w:tc>
        <w:tc>
          <w:tcPr>
            <w:tcW w:w="1113"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1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茄果类蔬菜</w:t>
            </w:r>
          </w:p>
        </w:tc>
        <w:tc>
          <w:tcPr>
            <w:tcW w:w="11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茄子</w:t>
            </w:r>
          </w:p>
        </w:tc>
        <w:tc>
          <w:tcPr>
            <w:tcW w:w="4725" w:type="dxa"/>
            <w:vMerge w:val="continue"/>
            <w:vAlign w:val="center"/>
          </w:tcPr>
          <w:p>
            <w:pPr>
              <w:jc w:val="center"/>
              <w:rPr>
                <w:rFonts w:hint="eastAsia" w:asciiTheme="majorEastAsia" w:hAnsiTheme="majorEastAsia" w:eastAsiaTheme="majorEastAsia" w:cstheme="majorEastAsia"/>
                <w:b w:val="0"/>
                <w:bCs w:val="0"/>
                <w:color w:val="000000"/>
                <w:sz w:val="18"/>
                <w:szCs w:val="18"/>
                <w:lang w:eastAsia="zh-CN"/>
              </w:rPr>
            </w:pPr>
          </w:p>
        </w:tc>
        <w:tc>
          <w:tcPr>
            <w:tcW w:w="409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镉（以Cd计）、氧乐果、水胺硫磷、克百威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jc w:val="center"/>
              <w:rPr>
                <w:rFonts w:hint="eastAsia" w:ascii="宋体" w:hAnsi="宋体" w:cs="宋体"/>
                <w:color w:val="auto"/>
                <w:kern w:val="2"/>
                <w:sz w:val="18"/>
                <w:szCs w:val="18"/>
                <w:lang w:val="en-US" w:eastAsia="zh-CN" w:bidi="ar-SA"/>
              </w:rPr>
            </w:pPr>
          </w:p>
        </w:tc>
        <w:tc>
          <w:tcPr>
            <w:tcW w:w="1077" w:type="dxa"/>
            <w:vMerge w:val="continue"/>
            <w:vAlign w:val="center"/>
          </w:tcPr>
          <w:p>
            <w:pPr>
              <w:jc w:val="center"/>
              <w:rPr>
                <w:rFonts w:hint="eastAsia" w:ascii="宋体" w:hAnsi="宋体" w:cs="宋体"/>
                <w:color w:val="000000"/>
                <w:sz w:val="18"/>
                <w:szCs w:val="18"/>
                <w:lang w:eastAsia="zh-CN"/>
              </w:rPr>
            </w:pPr>
          </w:p>
        </w:tc>
        <w:tc>
          <w:tcPr>
            <w:tcW w:w="1113"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15"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1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番茄</w:t>
            </w:r>
          </w:p>
        </w:tc>
        <w:tc>
          <w:tcPr>
            <w:tcW w:w="4725" w:type="dxa"/>
            <w:vMerge w:val="continue"/>
            <w:vAlign w:val="center"/>
          </w:tcPr>
          <w:p>
            <w:pPr>
              <w:jc w:val="center"/>
              <w:rPr>
                <w:rFonts w:hint="eastAsia" w:asciiTheme="majorEastAsia" w:hAnsiTheme="majorEastAsia" w:eastAsiaTheme="majorEastAsia" w:cstheme="majorEastAsia"/>
                <w:b w:val="0"/>
                <w:bCs w:val="0"/>
                <w:color w:val="000000"/>
                <w:sz w:val="18"/>
                <w:szCs w:val="18"/>
                <w:lang w:eastAsia="zh-CN"/>
              </w:rPr>
            </w:pPr>
          </w:p>
        </w:tc>
        <w:tc>
          <w:tcPr>
            <w:tcW w:w="409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敌敌畏、毒死蜱、克百威、氧乐果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jc w:val="center"/>
              <w:rPr>
                <w:rFonts w:hint="eastAsia" w:ascii="宋体" w:hAnsi="宋体" w:cs="宋体"/>
                <w:color w:val="auto"/>
                <w:kern w:val="2"/>
                <w:sz w:val="18"/>
                <w:szCs w:val="18"/>
                <w:lang w:val="en-US" w:eastAsia="zh-CN" w:bidi="ar-SA"/>
              </w:rPr>
            </w:pPr>
          </w:p>
        </w:tc>
        <w:tc>
          <w:tcPr>
            <w:tcW w:w="1077" w:type="dxa"/>
            <w:vMerge w:val="continue"/>
            <w:vAlign w:val="center"/>
          </w:tcPr>
          <w:p>
            <w:pPr>
              <w:jc w:val="center"/>
              <w:rPr>
                <w:rFonts w:hint="eastAsia" w:ascii="宋体" w:hAnsi="宋体" w:cs="宋体"/>
                <w:color w:val="000000"/>
                <w:sz w:val="18"/>
                <w:szCs w:val="18"/>
                <w:lang w:eastAsia="zh-CN"/>
              </w:rPr>
            </w:pPr>
          </w:p>
        </w:tc>
        <w:tc>
          <w:tcPr>
            <w:tcW w:w="1113"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水生类蔬菜</w:t>
            </w:r>
          </w:p>
        </w:tc>
        <w:tc>
          <w:tcPr>
            <w:tcW w:w="11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莲藕</w:t>
            </w:r>
          </w:p>
        </w:tc>
        <w:tc>
          <w:tcPr>
            <w:tcW w:w="4725" w:type="dxa"/>
            <w:vMerge w:val="continue"/>
            <w:vAlign w:val="center"/>
          </w:tcPr>
          <w:p>
            <w:pPr>
              <w:jc w:val="center"/>
              <w:rPr>
                <w:rFonts w:hint="eastAsia" w:asciiTheme="majorEastAsia" w:hAnsiTheme="majorEastAsia" w:eastAsiaTheme="majorEastAsia" w:cstheme="majorEastAsia"/>
                <w:b w:val="0"/>
                <w:bCs w:val="0"/>
                <w:color w:val="000000"/>
                <w:sz w:val="18"/>
                <w:szCs w:val="18"/>
                <w:lang w:eastAsia="zh-CN"/>
              </w:rPr>
            </w:pPr>
          </w:p>
        </w:tc>
        <w:tc>
          <w:tcPr>
            <w:tcW w:w="409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铅（以Pb 计）、镉（以Cd 计）、铬（以Cr 计）、吡虫啉、多菌灵、啶虫脒、氧乐果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jc w:val="center"/>
              <w:rPr>
                <w:rFonts w:hint="eastAsia" w:ascii="宋体" w:hAnsi="宋体" w:cs="宋体"/>
                <w:color w:val="auto"/>
                <w:kern w:val="2"/>
                <w:sz w:val="18"/>
                <w:szCs w:val="18"/>
                <w:lang w:val="en-US" w:eastAsia="zh-CN" w:bidi="ar-SA"/>
              </w:rPr>
            </w:pPr>
          </w:p>
        </w:tc>
        <w:tc>
          <w:tcPr>
            <w:tcW w:w="1077" w:type="dxa"/>
            <w:vMerge w:val="continue"/>
            <w:vAlign w:val="center"/>
          </w:tcPr>
          <w:p>
            <w:pPr>
              <w:jc w:val="center"/>
              <w:rPr>
                <w:rFonts w:hint="eastAsia" w:ascii="宋体" w:hAnsi="宋体" w:cs="宋体"/>
                <w:color w:val="000000"/>
                <w:sz w:val="18"/>
                <w:szCs w:val="18"/>
                <w:lang w:eastAsia="zh-CN"/>
              </w:rPr>
            </w:pPr>
          </w:p>
        </w:tc>
        <w:tc>
          <w:tcPr>
            <w:tcW w:w="11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水产品</w:t>
            </w:r>
          </w:p>
        </w:tc>
        <w:tc>
          <w:tcPr>
            <w:tcW w:w="12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淡水产品</w:t>
            </w:r>
          </w:p>
        </w:tc>
        <w:tc>
          <w:tcPr>
            <w:tcW w:w="11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淡水虾</w:t>
            </w:r>
          </w:p>
        </w:tc>
        <w:tc>
          <w:tcPr>
            <w:tcW w:w="4725"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 xml:space="preserve">GB 31650-2019《食品安全国家标准 食品中兽药最大残留限量》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农业农村部公告第250号《食品动物中禁止使用的药品及其他化合物清单》 </w:t>
            </w:r>
          </w:p>
        </w:tc>
        <w:tc>
          <w:tcPr>
            <w:tcW w:w="409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恩诺沙星、孔雀石绿、五氯酚酸钠（以五氯酚计）、氯霉素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jc w:val="center"/>
              <w:rPr>
                <w:rFonts w:hint="eastAsia" w:ascii="宋体" w:hAnsi="宋体" w:cs="宋体"/>
                <w:color w:val="auto"/>
                <w:kern w:val="2"/>
                <w:sz w:val="18"/>
                <w:szCs w:val="18"/>
                <w:lang w:val="en-US" w:eastAsia="zh-CN" w:bidi="ar-SA"/>
              </w:rPr>
            </w:pPr>
          </w:p>
        </w:tc>
        <w:tc>
          <w:tcPr>
            <w:tcW w:w="1077" w:type="dxa"/>
            <w:vMerge w:val="continue"/>
            <w:vAlign w:val="center"/>
          </w:tcPr>
          <w:p>
            <w:pPr>
              <w:jc w:val="center"/>
              <w:rPr>
                <w:rFonts w:hint="eastAsia" w:ascii="宋体" w:hAnsi="宋体" w:cs="宋体"/>
                <w:color w:val="000000"/>
                <w:sz w:val="18"/>
                <w:szCs w:val="18"/>
                <w:lang w:eastAsia="zh-CN"/>
              </w:rPr>
            </w:pPr>
          </w:p>
        </w:tc>
        <w:tc>
          <w:tcPr>
            <w:tcW w:w="1113"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水果类</w:t>
            </w:r>
          </w:p>
        </w:tc>
        <w:tc>
          <w:tcPr>
            <w:tcW w:w="12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柑橘类水果</w:t>
            </w:r>
          </w:p>
        </w:tc>
        <w:tc>
          <w:tcPr>
            <w:tcW w:w="11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柑、橘</w:t>
            </w:r>
          </w:p>
        </w:tc>
        <w:tc>
          <w:tcPr>
            <w:tcW w:w="4725" w:type="dxa"/>
            <w:vMerge w:val="restart"/>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 xml:space="preserve"> GB 2763-2019《食品安全国家标准 食品中农药最大残留限量》 </w:t>
            </w:r>
          </w:p>
        </w:tc>
        <w:tc>
          <w:tcPr>
            <w:tcW w:w="409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丙溴磷、苯醚甲环唑、克百威、氧乐果、联苯菊酯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jc w:val="center"/>
              <w:rPr>
                <w:rFonts w:hint="eastAsia" w:ascii="宋体" w:hAnsi="宋体" w:cs="宋体"/>
                <w:color w:val="auto"/>
                <w:kern w:val="2"/>
                <w:sz w:val="18"/>
                <w:szCs w:val="18"/>
                <w:lang w:val="en-US" w:eastAsia="zh-CN" w:bidi="ar-SA"/>
              </w:rPr>
            </w:pPr>
          </w:p>
        </w:tc>
        <w:tc>
          <w:tcPr>
            <w:tcW w:w="1077" w:type="dxa"/>
            <w:vMerge w:val="continue"/>
            <w:vAlign w:val="center"/>
          </w:tcPr>
          <w:p>
            <w:pPr>
              <w:jc w:val="center"/>
              <w:rPr>
                <w:rFonts w:hint="eastAsia" w:ascii="宋体" w:hAnsi="宋体" w:cs="宋体"/>
                <w:color w:val="000000"/>
                <w:sz w:val="18"/>
                <w:szCs w:val="18"/>
                <w:lang w:eastAsia="zh-CN"/>
              </w:rPr>
            </w:pPr>
          </w:p>
        </w:tc>
        <w:tc>
          <w:tcPr>
            <w:tcW w:w="1113" w:type="dxa"/>
            <w:vMerge w:val="continue"/>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浆果和其他小型水果</w:t>
            </w:r>
          </w:p>
        </w:tc>
        <w:tc>
          <w:tcPr>
            <w:tcW w:w="11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葡萄</w:t>
            </w:r>
          </w:p>
        </w:tc>
        <w:tc>
          <w:tcPr>
            <w:tcW w:w="4725" w:type="dxa"/>
            <w:vMerge w:val="continue"/>
            <w:vAlign w:val="center"/>
          </w:tcPr>
          <w:p>
            <w:pPr>
              <w:jc w:val="center"/>
              <w:rPr>
                <w:rFonts w:hint="eastAsia" w:asciiTheme="majorEastAsia" w:hAnsiTheme="majorEastAsia" w:eastAsiaTheme="majorEastAsia" w:cstheme="majorEastAsia"/>
                <w:b w:val="0"/>
                <w:bCs w:val="0"/>
                <w:color w:val="000000"/>
                <w:sz w:val="18"/>
                <w:szCs w:val="18"/>
                <w:lang w:eastAsia="zh-CN"/>
              </w:rPr>
            </w:pPr>
          </w:p>
        </w:tc>
        <w:tc>
          <w:tcPr>
            <w:tcW w:w="4099"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烯酰吗啉、克百威、氧乐果、敌敌畏、多菌灵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restart"/>
            <w:vAlign w:val="center"/>
          </w:tcPr>
          <w:p>
            <w:pPr>
              <w:widowControl/>
              <w:snapToGrid w:val="0"/>
              <w:spacing w:line="360" w:lineRule="exact"/>
              <w:jc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3</w:t>
            </w:r>
          </w:p>
        </w:tc>
        <w:tc>
          <w:tcPr>
            <w:tcW w:w="1077" w:type="dxa"/>
            <w:vMerge w:val="restart"/>
            <w:vAlign w:val="center"/>
          </w:tcPr>
          <w:p>
            <w:pPr>
              <w:keepNext w:val="0"/>
              <w:keepLines w:val="0"/>
              <w:widowControl/>
              <w:suppressLineNumbers w:val="0"/>
              <w:jc w:val="center"/>
              <w:textAlignment w:val="center"/>
              <w:rPr>
                <w:rFonts w:hint="eastAsia" w:ascii="宋体" w:hAnsi="宋体" w:cs="宋体"/>
                <w:color w:val="000000"/>
                <w:sz w:val="18"/>
                <w:szCs w:val="18"/>
                <w:lang w:eastAsia="zh-CN"/>
              </w:rPr>
            </w:pPr>
            <w:r>
              <w:rPr>
                <w:rFonts w:hint="eastAsia" w:ascii="宋体" w:hAnsi="宋体" w:cs="宋体"/>
                <w:i w:val="0"/>
                <w:color w:val="000000"/>
                <w:kern w:val="2"/>
                <w:sz w:val="18"/>
                <w:szCs w:val="18"/>
                <w:u w:val="none"/>
                <w:lang w:val="en-US" w:eastAsia="zh-CN" w:bidi="ar-SA"/>
              </w:rPr>
              <w:t>豆制品</w:t>
            </w:r>
          </w:p>
        </w:tc>
        <w:tc>
          <w:tcPr>
            <w:tcW w:w="1113"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color w:val="000000"/>
                <w:kern w:val="2"/>
                <w:sz w:val="18"/>
                <w:szCs w:val="18"/>
                <w:u w:val="none"/>
                <w:lang w:val="en-US" w:eastAsia="zh-CN" w:bidi="ar-SA"/>
              </w:rPr>
              <w:t>豆制品</w:t>
            </w:r>
          </w:p>
        </w:tc>
        <w:tc>
          <w:tcPr>
            <w:tcW w:w="12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发酵性豆制品</w:t>
            </w:r>
          </w:p>
        </w:tc>
        <w:tc>
          <w:tcPr>
            <w:tcW w:w="11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腐乳、豆豉、纳豆等</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2712-2014《食品安全国家标准 豆制品》</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2760-2014《食品安全国家标准 食品添加剂使用标准》</w:t>
            </w:r>
          </w:p>
          <w:p>
            <w:pPr>
              <w:widowControl/>
              <w:jc w:val="left"/>
              <w:textAlignment w:val="center"/>
              <w:rPr>
                <w:rFonts w:hint="eastAsia" w:asciiTheme="majorEastAsia" w:hAnsiTheme="majorEastAsia" w:eastAsiaTheme="majorEastAsia" w:cstheme="majorEastAsia"/>
                <w:b w:val="0"/>
                <w:bCs w:val="0"/>
                <w:color w:val="000000"/>
                <w:sz w:val="18"/>
                <w:szCs w:val="18"/>
                <w:lang w:eastAsia="zh-CN"/>
              </w:rPr>
            </w:pPr>
            <w:r>
              <w:rPr>
                <w:rFonts w:hint="eastAsia" w:ascii="宋体" w:hAnsi="宋体" w:eastAsia="宋体" w:cs="宋体"/>
                <w:color w:val="000000"/>
                <w:kern w:val="2"/>
                <w:sz w:val="18"/>
                <w:szCs w:val="18"/>
                <w:lang w:val="en-US" w:eastAsia="zh-CN" w:bidi="ar-SA"/>
              </w:rPr>
              <w:t>GB 29921-2013《食品安全国家标准 食品中致病菌限量》</w:t>
            </w:r>
          </w:p>
        </w:tc>
        <w:tc>
          <w:tcPr>
            <w:tcW w:w="4099" w:type="dxa"/>
            <w:vAlign w:val="center"/>
          </w:tcPr>
          <w:p>
            <w:pPr>
              <w:widowControl/>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2"/>
                <w:sz w:val="18"/>
                <w:szCs w:val="18"/>
                <w:lang w:val="en-US" w:eastAsia="zh-CN" w:bidi="ar-SA"/>
              </w:rPr>
              <w:t>脱氢乙酸及其钠盐（以脱氢乙酸计）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铝的残留量（干样品，以Al计）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苯甲酸及其钠盐（以苯甲酸计）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山梨酸及其钾盐（以山梨酸计）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糖精钠（以糖精计）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丙酸及其钠盐、钙盐（以丙酸计）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甜蜜素（以环己基氨基磺酸计）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大肠菌群</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color w:val="000000"/>
                <w:sz w:val="18"/>
                <w:szCs w:val="18"/>
                <w:lang w:eastAsia="zh-CN"/>
              </w:rPr>
            </w:pPr>
          </w:p>
        </w:tc>
        <w:tc>
          <w:tcPr>
            <w:tcW w:w="1113"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1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非发酵性豆制品</w:t>
            </w:r>
          </w:p>
        </w:tc>
        <w:tc>
          <w:tcPr>
            <w:tcW w:w="11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豆干、豆腐、豆皮等</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2762-2017《食品安全国家标准 食品中污染物限量》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2760-2014《食品安全国家标准 食品添加剂使用标准》</w:t>
            </w:r>
          </w:p>
          <w:p>
            <w:pPr>
              <w:widowControl/>
              <w:jc w:val="left"/>
              <w:textAlignment w:val="center"/>
              <w:rPr>
                <w:rFonts w:hint="eastAsia" w:asciiTheme="majorEastAsia" w:hAnsiTheme="majorEastAsia" w:eastAsiaTheme="majorEastAsia" w:cstheme="majorEastAsia"/>
                <w:b w:val="0"/>
                <w:bCs w:val="0"/>
                <w:color w:val="000000"/>
                <w:sz w:val="18"/>
                <w:szCs w:val="18"/>
                <w:lang w:eastAsia="zh-CN"/>
              </w:rPr>
            </w:pPr>
            <w:r>
              <w:rPr>
                <w:rFonts w:hint="eastAsia" w:ascii="宋体" w:hAnsi="宋体" w:eastAsia="宋体" w:cs="宋体"/>
                <w:color w:val="000000"/>
                <w:kern w:val="2"/>
                <w:sz w:val="18"/>
                <w:szCs w:val="18"/>
                <w:lang w:val="en-US" w:eastAsia="zh-CN" w:bidi="ar-SA"/>
              </w:rPr>
              <w:t>GB 2712-2014《食品安全国家标准 豆制品》</w:t>
            </w:r>
          </w:p>
        </w:tc>
        <w:tc>
          <w:tcPr>
            <w:tcW w:w="4099" w:type="dxa"/>
            <w:vAlign w:val="center"/>
          </w:tcPr>
          <w:p>
            <w:pPr>
              <w:widowControl/>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2"/>
                <w:sz w:val="18"/>
                <w:szCs w:val="18"/>
                <w:lang w:val="en-US" w:eastAsia="zh-CN" w:bidi="ar-SA"/>
              </w:rPr>
              <w:t>铅（以Pb计）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苯甲酸及其钠盐（以苯甲酸计）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山梨酸及其钾盐（以山梨酸计）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脱氢乙酸及其钠盐（以脱氢乙酸计）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丙酸及其钠盐、钙盐（以丙酸计）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糖精钠（以糖精计）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三氯蔗糖</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铝的残留量（干样品，以Al计）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hAnsi="宋体" w:cs="宋体"/>
                <w:color w:val="auto"/>
                <w:kern w:val="2"/>
                <w:sz w:val="18"/>
                <w:szCs w:val="18"/>
                <w:lang w:val="en-US" w:eastAsia="zh-CN" w:bidi="ar-SA"/>
              </w:rPr>
            </w:pPr>
          </w:p>
        </w:tc>
        <w:tc>
          <w:tcPr>
            <w:tcW w:w="1077" w:type="dxa"/>
            <w:vMerge w:val="continue"/>
            <w:vAlign w:val="center"/>
          </w:tcPr>
          <w:p>
            <w:pPr>
              <w:keepNext w:val="0"/>
              <w:keepLines w:val="0"/>
              <w:widowControl/>
              <w:suppressLineNumbers w:val="0"/>
              <w:jc w:val="center"/>
              <w:textAlignment w:val="center"/>
              <w:rPr>
                <w:rFonts w:hint="eastAsia" w:ascii="宋体" w:hAnsi="宋体" w:cs="宋体"/>
                <w:color w:val="000000"/>
                <w:sz w:val="18"/>
                <w:szCs w:val="18"/>
                <w:lang w:eastAsia="zh-CN"/>
              </w:rPr>
            </w:pPr>
          </w:p>
        </w:tc>
        <w:tc>
          <w:tcPr>
            <w:tcW w:w="1113"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15"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腐竹、油皮及其再制品</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2762-2017《食品安全国家标准 食品中污染物限量》</w:t>
            </w:r>
          </w:p>
          <w:p>
            <w:pPr>
              <w:widowControl/>
              <w:jc w:val="left"/>
              <w:textAlignment w:val="center"/>
              <w:rPr>
                <w:rFonts w:hint="eastAsia" w:asciiTheme="majorEastAsia" w:hAnsiTheme="majorEastAsia" w:eastAsiaTheme="majorEastAsia" w:cstheme="majorEastAsia"/>
                <w:b w:val="0"/>
                <w:bCs w:val="0"/>
                <w:color w:val="000000"/>
                <w:sz w:val="18"/>
                <w:szCs w:val="18"/>
                <w:lang w:eastAsia="zh-CN"/>
              </w:rPr>
            </w:pPr>
            <w:r>
              <w:rPr>
                <w:rFonts w:hint="eastAsia" w:ascii="宋体" w:hAnsi="宋体" w:eastAsia="宋体" w:cs="宋体"/>
                <w:color w:val="000000"/>
                <w:kern w:val="2"/>
                <w:sz w:val="18"/>
                <w:szCs w:val="18"/>
                <w:lang w:val="en-US" w:eastAsia="zh-CN" w:bidi="ar-SA"/>
              </w:rPr>
              <w:t>GB 2760-2014《食品安全国家标准 食品添加剂使用标准》</w:t>
            </w:r>
          </w:p>
        </w:tc>
        <w:tc>
          <w:tcPr>
            <w:tcW w:w="4099" w:type="dxa"/>
            <w:vAlign w:val="center"/>
          </w:tcPr>
          <w:p>
            <w:pPr>
              <w:widowControl/>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color w:val="000000"/>
                <w:kern w:val="2"/>
                <w:sz w:val="18"/>
                <w:szCs w:val="18"/>
                <w:lang w:val="en-US" w:eastAsia="zh-CN" w:bidi="ar-SA"/>
              </w:rPr>
              <w:t>铅（以Pb计）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苯甲酸及其钠盐（以苯甲酸计）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山梨酸及其钾盐（以山梨酸计）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脱氢乙酸及其钠盐（以脱氢乙酸计）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铝的残留量（干样品，以Al计）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Align w:val="center"/>
          </w:tcPr>
          <w:p>
            <w:pPr>
              <w:widowControl/>
              <w:snapToGrid w:val="0"/>
              <w:spacing w:line="360" w:lineRule="exact"/>
              <w:jc w:val="center"/>
              <w:rPr>
                <w:rFonts w:hint="eastAsia" w:ascii="宋体" w:hAnsi="宋体" w:cs="宋体"/>
                <w:color w:val="auto"/>
                <w:kern w:val="2"/>
                <w:sz w:val="18"/>
                <w:szCs w:val="18"/>
                <w:lang w:val="en-US" w:eastAsia="zh-CN" w:bidi="ar-SA"/>
              </w:rPr>
            </w:pPr>
            <w:r>
              <w:rPr>
                <w:rFonts w:hint="eastAsia" w:ascii="宋体" w:cs="宋体"/>
                <w:color w:val="000000"/>
                <w:sz w:val="18"/>
                <w:szCs w:val="18"/>
                <w:lang w:val="en-US" w:eastAsia="zh-CN"/>
              </w:rPr>
              <w:t>4</w:t>
            </w:r>
          </w:p>
        </w:tc>
        <w:tc>
          <w:tcPr>
            <w:tcW w:w="1077" w:type="dxa"/>
            <w:vAlign w:val="center"/>
          </w:tcPr>
          <w:p>
            <w:pPr>
              <w:keepNext w:val="0"/>
              <w:keepLines w:val="0"/>
              <w:widowControl/>
              <w:suppressLineNumbers w:val="0"/>
              <w:jc w:val="center"/>
              <w:textAlignment w:val="center"/>
              <w:rPr>
                <w:rFonts w:hint="eastAsia" w:ascii="宋体" w:hAnsi="宋体" w:cs="宋体"/>
                <w:color w:val="000000"/>
                <w:sz w:val="18"/>
                <w:szCs w:val="18"/>
                <w:lang w:eastAsia="zh-CN"/>
              </w:rPr>
            </w:pPr>
            <w:r>
              <w:rPr>
                <w:rFonts w:hint="eastAsia" w:ascii="宋体" w:hAnsi="宋体" w:cs="宋体"/>
                <w:i w:val="0"/>
                <w:iCs w:val="0"/>
                <w:color w:val="000000"/>
                <w:kern w:val="0"/>
                <w:sz w:val="18"/>
                <w:szCs w:val="18"/>
                <w:u w:val="none"/>
                <w:lang w:val="en-US" w:eastAsia="zh-CN" w:bidi="ar"/>
              </w:rPr>
              <w:t>保健食品</w:t>
            </w:r>
          </w:p>
        </w:tc>
        <w:tc>
          <w:tcPr>
            <w:tcW w:w="111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保健食品</w:t>
            </w:r>
          </w:p>
        </w:tc>
        <w:tc>
          <w:tcPr>
            <w:tcW w:w="12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保健食品</w:t>
            </w:r>
          </w:p>
        </w:tc>
        <w:tc>
          <w:tcPr>
            <w:tcW w:w="118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iCs w:val="0"/>
                <w:color w:val="000000"/>
                <w:kern w:val="0"/>
                <w:sz w:val="18"/>
                <w:szCs w:val="18"/>
                <w:u w:val="none"/>
                <w:lang w:val="en-US" w:eastAsia="zh-CN" w:bidi="ar"/>
              </w:rPr>
              <w:t>保健食品</w:t>
            </w:r>
          </w:p>
        </w:tc>
        <w:tc>
          <w:tcPr>
            <w:tcW w:w="4725" w:type="dxa"/>
            <w:vAlign w:val="center"/>
          </w:tcPr>
          <w:p>
            <w:pPr>
              <w:widowControl/>
              <w:snapToGrid w:val="0"/>
              <w:spacing w:line="360" w:lineRule="exact"/>
              <w:jc w:val="center"/>
              <w:rPr>
                <w:rFonts w:hint="eastAsia" w:asciiTheme="majorEastAsia" w:hAnsiTheme="majorEastAsia" w:eastAsiaTheme="majorEastAsia" w:cstheme="majorEastAsia"/>
                <w:b w:val="0"/>
                <w:bCs w:val="0"/>
                <w:color w:val="000000"/>
                <w:sz w:val="18"/>
                <w:szCs w:val="18"/>
                <w:lang w:eastAsia="zh-CN"/>
              </w:rPr>
            </w:pPr>
            <w:r>
              <w:rPr>
                <w:rFonts w:hint="eastAsia" w:asciiTheme="majorEastAsia" w:hAnsiTheme="majorEastAsia" w:eastAsiaTheme="majorEastAsia" w:cstheme="majorEastAsia"/>
                <w:b w:val="0"/>
                <w:bCs w:val="0"/>
                <w:color w:val="000000"/>
                <w:sz w:val="18"/>
                <w:szCs w:val="18"/>
                <w:lang w:eastAsia="zh-CN"/>
              </w:rPr>
              <w:t>国家食品药品监督管理局药品检验补充检验方法和检验项目批准件2006004</w:t>
            </w:r>
          </w:p>
          <w:p>
            <w:pPr>
              <w:widowControl/>
              <w:snapToGrid w:val="0"/>
              <w:spacing w:line="360" w:lineRule="exact"/>
              <w:jc w:val="center"/>
              <w:rPr>
                <w:rFonts w:hint="eastAsia" w:asciiTheme="majorEastAsia" w:hAnsiTheme="majorEastAsia" w:eastAsiaTheme="majorEastAsia" w:cstheme="majorEastAsia"/>
                <w:b w:val="0"/>
                <w:bCs w:val="0"/>
                <w:color w:val="000000"/>
                <w:sz w:val="18"/>
                <w:szCs w:val="18"/>
                <w:lang w:eastAsia="zh-CN"/>
              </w:rPr>
            </w:pPr>
            <w:r>
              <w:rPr>
                <w:rFonts w:hint="eastAsia" w:asciiTheme="majorEastAsia" w:hAnsiTheme="majorEastAsia" w:eastAsiaTheme="majorEastAsia" w:cstheme="majorEastAsia"/>
                <w:b w:val="0"/>
                <w:bCs w:val="0"/>
                <w:color w:val="000000"/>
                <w:sz w:val="18"/>
                <w:szCs w:val="18"/>
                <w:lang w:eastAsia="zh-CN"/>
              </w:rPr>
              <w:t>国家食品药品监督管理局药品检验补充检验方法和检验项目批准件2009024</w:t>
            </w:r>
          </w:p>
          <w:p>
            <w:pPr>
              <w:widowControl/>
              <w:snapToGrid w:val="0"/>
              <w:spacing w:line="360" w:lineRule="exact"/>
              <w:jc w:val="center"/>
              <w:rPr>
                <w:rFonts w:hint="eastAsia" w:asciiTheme="majorEastAsia" w:hAnsiTheme="majorEastAsia" w:eastAsiaTheme="majorEastAsia" w:cstheme="majorEastAsia"/>
                <w:b w:val="0"/>
                <w:bCs w:val="0"/>
                <w:color w:val="000000"/>
                <w:sz w:val="18"/>
                <w:szCs w:val="18"/>
                <w:lang w:eastAsia="zh-CN"/>
              </w:rPr>
            </w:pPr>
            <w:r>
              <w:rPr>
                <w:rFonts w:hint="eastAsia" w:asciiTheme="majorEastAsia" w:hAnsiTheme="majorEastAsia" w:eastAsiaTheme="majorEastAsia" w:cstheme="majorEastAsia"/>
                <w:b w:val="0"/>
                <w:bCs w:val="0"/>
                <w:color w:val="000000"/>
                <w:sz w:val="18"/>
                <w:szCs w:val="18"/>
                <w:lang w:eastAsia="zh-CN"/>
              </w:rPr>
              <w:t>国家食品药品监督管理局药品检验补充检验方法和检验项目批准件2009029</w:t>
            </w:r>
          </w:p>
          <w:p>
            <w:pPr>
              <w:widowControl/>
              <w:snapToGrid w:val="0"/>
              <w:spacing w:line="360" w:lineRule="exact"/>
              <w:jc w:val="center"/>
              <w:rPr>
                <w:rFonts w:hint="eastAsia" w:asciiTheme="majorEastAsia" w:hAnsiTheme="majorEastAsia" w:eastAsiaTheme="majorEastAsia" w:cstheme="majorEastAsia"/>
                <w:b w:val="0"/>
                <w:bCs w:val="0"/>
                <w:color w:val="000000"/>
                <w:sz w:val="18"/>
                <w:szCs w:val="18"/>
                <w:lang w:eastAsia="zh-CN"/>
              </w:rPr>
            </w:pPr>
            <w:r>
              <w:rPr>
                <w:rFonts w:hint="eastAsia" w:asciiTheme="majorEastAsia" w:hAnsiTheme="majorEastAsia" w:eastAsiaTheme="majorEastAsia" w:cstheme="majorEastAsia"/>
                <w:b w:val="0"/>
                <w:bCs w:val="0"/>
                <w:color w:val="000000"/>
                <w:sz w:val="18"/>
                <w:szCs w:val="18"/>
                <w:lang w:eastAsia="zh-CN"/>
              </w:rPr>
              <w:t>国家食品药品监督管理局药品检验补充检验方法和检验项目批准件2009032</w:t>
            </w:r>
          </w:p>
          <w:p>
            <w:pPr>
              <w:widowControl/>
              <w:snapToGrid w:val="0"/>
              <w:spacing w:line="360" w:lineRule="exact"/>
              <w:jc w:val="center"/>
              <w:rPr>
                <w:rFonts w:hint="eastAsia" w:asciiTheme="majorEastAsia" w:hAnsiTheme="majorEastAsia" w:eastAsiaTheme="majorEastAsia" w:cstheme="majorEastAsia"/>
                <w:b w:val="0"/>
                <w:bCs w:val="0"/>
                <w:color w:val="000000"/>
                <w:sz w:val="18"/>
                <w:szCs w:val="18"/>
                <w:lang w:eastAsia="zh-CN"/>
              </w:rPr>
            </w:pPr>
            <w:r>
              <w:rPr>
                <w:rFonts w:hint="eastAsia" w:asciiTheme="majorEastAsia" w:hAnsiTheme="majorEastAsia" w:eastAsiaTheme="majorEastAsia" w:cstheme="majorEastAsia"/>
                <w:b w:val="0"/>
                <w:bCs w:val="0"/>
                <w:color w:val="000000"/>
                <w:sz w:val="18"/>
                <w:szCs w:val="18"/>
                <w:lang w:eastAsia="zh-CN"/>
              </w:rPr>
              <w:t>国家食品药品监督管理局药品检验补充检验方法和检验项目批准件2011008</w:t>
            </w:r>
          </w:p>
          <w:p>
            <w:pPr>
              <w:widowControl/>
              <w:snapToGrid w:val="0"/>
              <w:spacing w:line="360" w:lineRule="exact"/>
              <w:jc w:val="center"/>
              <w:rPr>
                <w:rFonts w:hint="eastAsia" w:asciiTheme="majorEastAsia" w:hAnsiTheme="majorEastAsia" w:eastAsiaTheme="majorEastAsia" w:cstheme="majorEastAsia"/>
                <w:b w:val="0"/>
                <w:bCs w:val="0"/>
                <w:color w:val="000000"/>
                <w:sz w:val="18"/>
                <w:szCs w:val="18"/>
                <w:lang w:eastAsia="zh-CN"/>
              </w:rPr>
            </w:pPr>
            <w:r>
              <w:rPr>
                <w:rFonts w:hint="eastAsia" w:asciiTheme="majorEastAsia" w:hAnsiTheme="majorEastAsia" w:eastAsiaTheme="majorEastAsia" w:cstheme="majorEastAsia"/>
                <w:b w:val="0"/>
                <w:bCs w:val="0"/>
                <w:color w:val="000000"/>
                <w:sz w:val="18"/>
                <w:szCs w:val="18"/>
                <w:lang w:eastAsia="zh-CN"/>
              </w:rPr>
              <w:t>国家食品药品监督管理局药品检验补充检验方法和检验项目批准件2012004</w:t>
            </w:r>
          </w:p>
          <w:p>
            <w:pPr>
              <w:widowControl/>
              <w:snapToGrid w:val="0"/>
              <w:spacing w:line="360" w:lineRule="exact"/>
              <w:jc w:val="center"/>
              <w:rPr>
                <w:rFonts w:hint="eastAsia" w:asciiTheme="majorEastAsia" w:hAnsiTheme="majorEastAsia" w:eastAsiaTheme="majorEastAsia" w:cstheme="majorEastAsia"/>
                <w:b w:val="0"/>
                <w:bCs w:val="0"/>
                <w:color w:val="000000"/>
                <w:sz w:val="18"/>
                <w:szCs w:val="18"/>
                <w:lang w:eastAsia="zh-CN"/>
              </w:rPr>
            </w:pPr>
            <w:r>
              <w:rPr>
                <w:rFonts w:hint="eastAsia" w:asciiTheme="majorEastAsia" w:hAnsiTheme="majorEastAsia" w:eastAsiaTheme="majorEastAsia" w:cstheme="majorEastAsia"/>
                <w:b w:val="0"/>
                <w:bCs w:val="0"/>
                <w:color w:val="000000"/>
                <w:sz w:val="18"/>
                <w:szCs w:val="18"/>
                <w:lang w:eastAsia="zh-CN"/>
              </w:rPr>
              <w:t>国家食品药品监督管理局药品检验补充检验方法和检验项目批准件2012005</w:t>
            </w:r>
          </w:p>
          <w:p>
            <w:pPr>
              <w:widowControl/>
              <w:snapToGrid w:val="0"/>
              <w:spacing w:line="360" w:lineRule="exact"/>
              <w:jc w:val="center"/>
              <w:rPr>
                <w:rFonts w:hint="eastAsia" w:ascii="宋体" w:hAnsi="宋体" w:eastAsia="宋体" w:cs="宋体"/>
                <w:color w:val="000000"/>
                <w:kern w:val="2"/>
                <w:sz w:val="18"/>
                <w:szCs w:val="18"/>
                <w:lang w:val="en-US" w:eastAsia="zh-CN" w:bidi="ar-SA"/>
              </w:rPr>
            </w:pPr>
            <w:r>
              <w:rPr>
                <w:rFonts w:hint="eastAsia" w:asciiTheme="majorEastAsia" w:hAnsiTheme="majorEastAsia" w:eastAsiaTheme="majorEastAsia" w:cstheme="majorEastAsia"/>
                <w:b w:val="0"/>
                <w:bCs w:val="0"/>
                <w:color w:val="000000"/>
                <w:sz w:val="18"/>
                <w:szCs w:val="18"/>
                <w:lang w:eastAsia="zh-CN"/>
              </w:rPr>
              <w:t>国家食品药品监督管理局药品检验补充检验方法和检验项目批准件2013002</w:t>
            </w:r>
          </w:p>
        </w:tc>
        <w:tc>
          <w:tcPr>
            <w:tcW w:w="4099" w:type="dxa"/>
            <w:vAlign w:val="center"/>
          </w:tcPr>
          <w:p>
            <w:pPr>
              <w:widowControl/>
              <w:snapToGrid w:val="0"/>
              <w:spacing w:line="360" w:lineRule="exact"/>
              <w:jc w:val="center"/>
              <w:rPr>
                <w:rFonts w:hint="eastAsia" w:ascii="宋体" w:hAnsi="宋体" w:eastAsia="宋体" w:cs="宋体"/>
                <w:color w:val="000000"/>
                <w:kern w:val="2"/>
                <w:sz w:val="18"/>
                <w:szCs w:val="18"/>
                <w:lang w:val="en-US" w:eastAsia="zh-CN" w:bidi="ar-SA"/>
              </w:rPr>
            </w:pPr>
            <w:r>
              <w:rPr>
                <w:rFonts w:hint="eastAsia" w:asciiTheme="majorEastAsia" w:hAnsiTheme="majorEastAsia" w:eastAsiaTheme="majorEastAsia" w:cstheme="majorEastAsia"/>
                <w:b w:val="0"/>
                <w:bCs w:val="0"/>
                <w:i w:val="0"/>
                <w:color w:val="000000"/>
                <w:kern w:val="0"/>
                <w:sz w:val="18"/>
                <w:szCs w:val="18"/>
                <w:u w:val="none"/>
                <w:lang w:val="en-US" w:eastAsia="zh-CN" w:bidi="ar"/>
              </w:rPr>
              <w:t>N-单去甲基西布曲明、阿替洛尔、地西泮、芬氟拉明、格列本脲、甲苯磺丁脲、卡托普利、罗通定、氯苯那敏、麻黄碱、氢氯噻嗪、西布曲明、硝西泮、盐酸丁二胍、盐酸二甲双胍、盐酸可乐定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restart"/>
            <w:vAlign w:val="center"/>
          </w:tcPr>
          <w:p>
            <w:pPr>
              <w:widowControl/>
              <w:snapToGrid w:val="0"/>
              <w:spacing w:line="360" w:lineRule="exact"/>
              <w:jc w:val="center"/>
              <w:rPr>
                <w:rFonts w:hint="eastAsia" w:ascii="宋体" w:cs="宋体"/>
                <w:color w:val="000000"/>
                <w:sz w:val="18"/>
                <w:szCs w:val="18"/>
                <w:lang w:val="en-US" w:eastAsia="zh-CN"/>
              </w:rPr>
            </w:pPr>
            <w:r>
              <w:rPr>
                <w:rFonts w:hint="eastAsia" w:ascii="宋体" w:hAnsi="宋体" w:cs="宋体"/>
                <w:color w:val="auto"/>
                <w:kern w:val="2"/>
                <w:sz w:val="18"/>
                <w:szCs w:val="18"/>
                <w:lang w:val="en-US" w:eastAsia="zh-CN" w:bidi="ar-SA"/>
              </w:rPr>
              <w:t>5</w:t>
            </w:r>
          </w:p>
        </w:tc>
        <w:tc>
          <w:tcPr>
            <w:tcW w:w="1077" w:type="dxa"/>
            <w:vMerge w:val="restart"/>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蔬菜制品</w:t>
            </w:r>
          </w:p>
        </w:tc>
        <w:tc>
          <w:tcPr>
            <w:tcW w:w="1113" w:type="dxa"/>
            <w:vMerge w:val="restart"/>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蔬菜制品</w:t>
            </w:r>
          </w:p>
        </w:tc>
        <w:tc>
          <w:tcPr>
            <w:tcW w:w="1215"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蔬菜干制品</w:t>
            </w:r>
          </w:p>
        </w:tc>
        <w:tc>
          <w:tcPr>
            <w:tcW w:w="1185"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自然干制品、热风干燥蔬菜、冷冻干燥蔬菜、蔬菜脆片、蔬菜粉及制品</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2760-2014《食品安全国家标准 食品添加剂使用标准》</w:t>
            </w:r>
          </w:p>
          <w:p>
            <w:pPr>
              <w:widowControl/>
              <w:jc w:val="left"/>
              <w:textAlignment w:val="center"/>
              <w:rPr>
                <w:rFonts w:hint="eastAsia" w:asciiTheme="majorEastAsia" w:hAnsiTheme="majorEastAsia" w:eastAsiaTheme="majorEastAsia" w:cstheme="majorEastAsia"/>
                <w:b w:val="0"/>
                <w:bCs w:val="0"/>
                <w:color w:val="000000"/>
                <w:sz w:val="18"/>
                <w:szCs w:val="18"/>
                <w:lang w:eastAsia="zh-CN"/>
              </w:rPr>
            </w:pPr>
            <w:r>
              <w:rPr>
                <w:rFonts w:hint="eastAsia" w:ascii="宋体" w:hAnsi="宋体" w:eastAsia="宋体" w:cs="宋体"/>
                <w:color w:val="000000"/>
                <w:kern w:val="2"/>
                <w:sz w:val="18"/>
                <w:szCs w:val="18"/>
                <w:lang w:val="en-US" w:eastAsia="zh-CN" w:bidi="ar-SA"/>
              </w:rPr>
              <w:t>GB 2762-2017《食品安全国家标准 食品中污染物限量》</w:t>
            </w:r>
          </w:p>
        </w:tc>
        <w:tc>
          <w:tcPr>
            <w:tcW w:w="4099" w:type="dxa"/>
            <w:vAlign w:val="center"/>
          </w:tcPr>
          <w:p>
            <w:pPr>
              <w:widowControl/>
              <w:jc w:val="left"/>
              <w:textAlignment w:val="center"/>
              <w:rPr>
                <w:rFonts w:hint="eastAsia" w:asciiTheme="majorEastAsia" w:hAnsiTheme="majorEastAsia" w:eastAsiaTheme="majorEastAsia" w:cstheme="majorEastAsia"/>
                <w:b w:val="0"/>
                <w:bCs w:val="0"/>
                <w:i w:val="0"/>
                <w:color w:val="000000"/>
                <w:kern w:val="0"/>
                <w:sz w:val="18"/>
                <w:szCs w:val="18"/>
                <w:u w:val="none"/>
                <w:lang w:val="en-US" w:eastAsia="zh-CN" w:bidi="ar"/>
              </w:rPr>
            </w:pPr>
            <w:r>
              <w:rPr>
                <w:rFonts w:hint="eastAsia" w:ascii="宋体" w:hAnsi="宋体" w:eastAsia="宋体" w:cs="宋体"/>
                <w:color w:val="000000"/>
                <w:kern w:val="2"/>
                <w:sz w:val="18"/>
                <w:szCs w:val="18"/>
                <w:lang w:val="en-US" w:eastAsia="zh-CN" w:bidi="ar-SA"/>
              </w:rPr>
              <w:t>苯甲酸及其钠盐（以苯甲酸计）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山梨酸及其钾盐（以山梨酸计）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精钠（以糖精计）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脱氢乙酸及其钠盐(以脱氢乙酸计)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二氧化硫残留量</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cs="宋体"/>
                <w:color w:val="000000"/>
                <w:sz w:val="18"/>
                <w:szCs w:val="18"/>
                <w:lang w:val="en-US" w:eastAsia="zh-CN"/>
              </w:rPr>
            </w:pPr>
          </w:p>
        </w:tc>
        <w:tc>
          <w:tcPr>
            <w:tcW w:w="1077" w:type="dxa"/>
            <w:vMerge w:val="continue"/>
            <w:vAlign w:val="center"/>
          </w:tcPr>
          <w:p>
            <w:pPr>
              <w:jc w:val="center"/>
              <w:rPr>
                <w:rFonts w:hint="eastAsia" w:ascii="宋体" w:hAnsi="宋体" w:cs="宋体"/>
                <w:i w:val="0"/>
                <w:iCs w:val="0"/>
                <w:color w:val="000000"/>
                <w:kern w:val="0"/>
                <w:sz w:val="18"/>
                <w:szCs w:val="18"/>
                <w:u w:val="none"/>
                <w:lang w:val="en-US" w:eastAsia="zh-CN" w:bidi="ar"/>
              </w:rPr>
            </w:pPr>
          </w:p>
        </w:tc>
        <w:tc>
          <w:tcPr>
            <w:tcW w:w="1113" w:type="dxa"/>
            <w:vMerge w:val="continue"/>
            <w:vAlign w:val="center"/>
          </w:tcPr>
          <w:p>
            <w:pPr>
              <w:jc w:val="center"/>
              <w:rPr>
                <w:rFonts w:hint="eastAsia" w:ascii="宋体" w:hAnsi="宋体" w:cs="宋体"/>
                <w:i w:val="0"/>
                <w:iCs w:val="0"/>
                <w:color w:val="000000"/>
                <w:kern w:val="0"/>
                <w:sz w:val="18"/>
                <w:szCs w:val="18"/>
                <w:u w:val="none"/>
                <w:lang w:val="en-US" w:eastAsia="zh-CN" w:bidi="ar"/>
              </w:rPr>
            </w:pPr>
          </w:p>
        </w:tc>
        <w:tc>
          <w:tcPr>
            <w:tcW w:w="1215"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酱腌菜</w:t>
            </w:r>
          </w:p>
        </w:tc>
        <w:tc>
          <w:tcPr>
            <w:tcW w:w="1185"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酱腌菜</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2762-2017《食品安全国家标准 食品中污染物限量》</w:t>
            </w:r>
          </w:p>
          <w:p>
            <w:pPr>
              <w:widowControl/>
              <w:jc w:val="left"/>
              <w:textAlignment w:val="center"/>
              <w:rPr>
                <w:rFonts w:hint="eastAsia" w:asciiTheme="majorEastAsia" w:hAnsiTheme="majorEastAsia" w:eastAsiaTheme="majorEastAsia" w:cstheme="majorEastAsia"/>
                <w:b w:val="0"/>
                <w:bCs w:val="0"/>
                <w:color w:val="000000"/>
                <w:sz w:val="18"/>
                <w:szCs w:val="18"/>
                <w:lang w:eastAsia="zh-CN"/>
              </w:rPr>
            </w:pPr>
            <w:r>
              <w:rPr>
                <w:rFonts w:hint="eastAsia" w:ascii="宋体" w:hAnsi="宋体" w:eastAsia="宋体" w:cs="宋体"/>
                <w:color w:val="000000"/>
                <w:kern w:val="2"/>
                <w:sz w:val="18"/>
                <w:szCs w:val="18"/>
                <w:lang w:val="en-US" w:eastAsia="zh-CN" w:bidi="ar-SA"/>
              </w:rPr>
              <w:t>GB 2760-2014《食品安全国家标准 食品添加剂使用标准》</w:t>
            </w:r>
          </w:p>
        </w:tc>
        <w:tc>
          <w:tcPr>
            <w:tcW w:w="4099" w:type="dxa"/>
            <w:vAlign w:val="center"/>
          </w:tcPr>
          <w:p>
            <w:pPr>
              <w:widowControl/>
              <w:jc w:val="left"/>
              <w:textAlignment w:val="center"/>
              <w:rPr>
                <w:rFonts w:hint="eastAsia" w:asciiTheme="majorEastAsia" w:hAnsiTheme="majorEastAsia" w:eastAsiaTheme="majorEastAsia" w:cstheme="majorEastAsia"/>
                <w:b w:val="0"/>
                <w:bCs w:val="0"/>
                <w:i w:val="0"/>
                <w:color w:val="000000"/>
                <w:kern w:val="0"/>
                <w:sz w:val="18"/>
                <w:szCs w:val="18"/>
                <w:u w:val="none"/>
                <w:lang w:val="en-US" w:eastAsia="zh-CN" w:bidi="ar"/>
              </w:rPr>
            </w:pPr>
            <w:r>
              <w:rPr>
                <w:rFonts w:hint="eastAsia" w:ascii="宋体" w:hAnsi="宋体" w:eastAsia="宋体" w:cs="宋体"/>
                <w:color w:val="000000"/>
                <w:kern w:val="2"/>
                <w:sz w:val="18"/>
                <w:szCs w:val="18"/>
                <w:lang w:val="en-US" w:eastAsia="zh-CN" w:bidi="ar-SA"/>
              </w:rPr>
              <w:t>铅（以Pb计）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苯甲酸及其钠盐（以苯甲酸计）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山梨酸及其钾盐（以山梨酸计）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糖精钠（以糖精计）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脱氢乙酸及其钠盐（以脱氢乙酸计）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三氯蔗糖</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甜蜜素（以环己基氨基磺酸计）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纽甜</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阿斯巴甜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Align w:val="center"/>
          </w:tcPr>
          <w:p>
            <w:pPr>
              <w:widowControl/>
              <w:snapToGrid w:val="0"/>
              <w:spacing w:line="360" w:lineRule="exact"/>
              <w:jc w:val="center"/>
              <w:rPr>
                <w:rFonts w:hint="default" w:ascii="宋体" w:cs="宋体"/>
                <w:color w:val="000000"/>
                <w:sz w:val="18"/>
                <w:szCs w:val="18"/>
                <w:lang w:val="en-US" w:eastAsia="zh-CN"/>
              </w:rPr>
            </w:pPr>
            <w:r>
              <w:rPr>
                <w:rFonts w:hint="eastAsia" w:ascii="宋体" w:cs="宋体"/>
                <w:color w:val="000000"/>
                <w:sz w:val="18"/>
                <w:szCs w:val="18"/>
                <w:lang w:val="en-US" w:eastAsia="zh-CN"/>
              </w:rPr>
              <w:t>6</w:t>
            </w:r>
          </w:p>
        </w:tc>
        <w:tc>
          <w:tcPr>
            <w:tcW w:w="1077"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淀粉及淀粉制品</w:t>
            </w:r>
          </w:p>
        </w:tc>
        <w:tc>
          <w:tcPr>
            <w:tcW w:w="1113"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淀粉及淀粉制品</w:t>
            </w:r>
          </w:p>
        </w:tc>
        <w:tc>
          <w:tcPr>
            <w:tcW w:w="1215"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淀粉</w:t>
            </w:r>
          </w:p>
        </w:tc>
        <w:tc>
          <w:tcPr>
            <w:tcW w:w="1185" w:type="dxa"/>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淀粉</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2760-2014《食品安全国家标准 食品添加剂使用标准》</w:t>
            </w:r>
          </w:p>
          <w:p>
            <w:pPr>
              <w:widowControl/>
              <w:jc w:val="left"/>
              <w:textAlignment w:val="center"/>
              <w:rPr>
                <w:rFonts w:hint="eastAsia" w:asciiTheme="majorEastAsia" w:hAnsiTheme="majorEastAsia" w:eastAsiaTheme="majorEastAsia" w:cstheme="majorEastAsia"/>
                <w:b w:val="0"/>
                <w:bCs w:val="0"/>
                <w:color w:val="000000"/>
                <w:sz w:val="18"/>
                <w:szCs w:val="18"/>
                <w:lang w:eastAsia="zh-CN"/>
              </w:rPr>
            </w:pPr>
            <w:r>
              <w:rPr>
                <w:rFonts w:hint="eastAsia" w:ascii="宋体" w:hAnsi="宋体" w:eastAsia="宋体" w:cs="宋体"/>
                <w:color w:val="000000"/>
                <w:kern w:val="2"/>
                <w:sz w:val="18"/>
                <w:szCs w:val="18"/>
                <w:lang w:val="en-US" w:eastAsia="zh-CN" w:bidi="ar-SA"/>
              </w:rPr>
              <w:t>GB 2762-2017《食品安全国家标准 食品中污染物限量》</w:t>
            </w:r>
          </w:p>
        </w:tc>
        <w:tc>
          <w:tcPr>
            <w:tcW w:w="4099" w:type="dxa"/>
            <w:vAlign w:val="center"/>
          </w:tcPr>
          <w:p>
            <w:pPr>
              <w:widowControl/>
              <w:jc w:val="left"/>
              <w:textAlignment w:val="center"/>
              <w:rPr>
                <w:rFonts w:hint="eastAsia" w:asciiTheme="majorEastAsia" w:hAnsiTheme="majorEastAsia" w:eastAsiaTheme="majorEastAsia" w:cstheme="majorEastAsia"/>
                <w:b w:val="0"/>
                <w:bCs w:val="0"/>
                <w:i w:val="0"/>
                <w:color w:val="000000"/>
                <w:kern w:val="0"/>
                <w:sz w:val="18"/>
                <w:szCs w:val="18"/>
                <w:u w:val="none"/>
                <w:lang w:val="en-US" w:eastAsia="zh-CN" w:bidi="ar"/>
              </w:rPr>
            </w:pPr>
            <w:r>
              <w:rPr>
                <w:rFonts w:hint="eastAsia" w:ascii="宋体" w:hAnsi="宋体" w:eastAsia="宋体" w:cs="宋体"/>
                <w:color w:val="000000"/>
                <w:kern w:val="2"/>
                <w:sz w:val="18"/>
                <w:szCs w:val="18"/>
                <w:lang w:val="en-US" w:eastAsia="zh-CN" w:bidi="ar-SA"/>
              </w:rPr>
              <w:t>铝的残留量（干样品，以Al计）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restart"/>
            <w:vAlign w:val="center"/>
          </w:tcPr>
          <w:p>
            <w:pPr>
              <w:widowControl/>
              <w:snapToGrid w:val="0"/>
              <w:spacing w:line="360" w:lineRule="exact"/>
              <w:jc w:val="center"/>
              <w:rPr>
                <w:rFonts w:hint="eastAsia" w:ascii="宋体" w:cs="宋体"/>
                <w:color w:val="000000"/>
                <w:sz w:val="18"/>
                <w:szCs w:val="18"/>
                <w:lang w:val="en-US" w:eastAsia="zh-CN"/>
              </w:rPr>
            </w:pPr>
            <w:r>
              <w:rPr>
                <w:rFonts w:hint="eastAsia" w:ascii="宋体" w:hAnsi="宋体" w:cs="宋体"/>
                <w:color w:val="auto"/>
                <w:kern w:val="2"/>
                <w:sz w:val="18"/>
                <w:szCs w:val="18"/>
                <w:lang w:val="en-US" w:eastAsia="zh-CN" w:bidi="ar-SA"/>
              </w:rPr>
              <w:t>7</w:t>
            </w:r>
            <w:bookmarkStart w:id="0" w:name="_GoBack"/>
            <w:bookmarkEnd w:id="0"/>
          </w:p>
        </w:tc>
        <w:tc>
          <w:tcPr>
            <w:tcW w:w="1077"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2"/>
                <w:sz w:val="18"/>
                <w:szCs w:val="18"/>
                <w:u w:val="none"/>
                <w:lang w:val="en-US" w:eastAsia="zh-CN" w:bidi="ar-SA"/>
              </w:rPr>
              <w:t>调味品</w:t>
            </w:r>
          </w:p>
        </w:tc>
        <w:tc>
          <w:tcPr>
            <w:tcW w:w="1113"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2"/>
                <w:sz w:val="18"/>
                <w:szCs w:val="18"/>
                <w:u w:val="none"/>
                <w:lang w:val="en-US" w:eastAsia="zh-CN" w:bidi="ar-SA"/>
              </w:rPr>
              <w:t>食盐</w:t>
            </w:r>
          </w:p>
        </w:tc>
        <w:tc>
          <w:tcPr>
            <w:tcW w:w="1215"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2"/>
                <w:sz w:val="18"/>
                <w:szCs w:val="18"/>
                <w:u w:val="none"/>
                <w:lang w:val="en-US" w:eastAsia="zh-CN" w:bidi="ar-SA"/>
              </w:rPr>
              <w:t>食用盐</w:t>
            </w:r>
          </w:p>
        </w:tc>
        <w:tc>
          <w:tcPr>
            <w:tcW w:w="118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普通食用盐</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2721-2015《食品安全国家标准 食用盐》</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2762-2017《食品安全国家标准 食品中污染物限量》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2760-2014《食品安全国家标准 食品添加剂使用标准》</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26878-2011《食品安全国家标准 食用盐碘含量》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产品质量明示指标</w:t>
            </w:r>
          </w:p>
        </w:tc>
        <w:tc>
          <w:tcPr>
            <w:tcW w:w="4099"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碘（以I计）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氯化钠（以干基计）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钡（以Ba计）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铅（以Pb计）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总砷（以As计）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镉（以Cd计）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总汞（以Hg计）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亚铁氰化钾/亚铁氰化钠（以亚铁氰根计）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cs="宋体"/>
                <w:color w:val="000000"/>
                <w:sz w:val="18"/>
                <w:szCs w:val="18"/>
                <w:lang w:val="en-US" w:eastAsia="zh-CN"/>
              </w:rPr>
            </w:pPr>
          </w:p>
        </w:tc>
        <w:tc>
          <w:tcPr>
            <w:tcW w:w="1077"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13"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215"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8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低钠食用盐</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2721-2015《食品安全国家标准 食用盐》</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2762-2017《食品安全国家标准 食品中污染物限量》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2760-2014《食品安全国家标准 食品添加剂使用标准》</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26878-2011《食品安全国家标准 食用盐碘含量》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产品质量明示指标</w:t>
            </w:r>
          </w:p>
        </w:tc>
        <w:tc>
          <w:tcPr>
            <w:tcW w:w="4099"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碘（以I计）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氯化钾（以干基计）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钡（以Ba计）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铅（以Pb计）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总砷（以As计）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镉（以Cd计）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总汞（以Hg计）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亚铁氰化钾/亚铁氰化钠（以亚铁氰根计）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jc w:val="center"/>
        </w:trPr>
        <w:tc>
          <w:tcPr>
            <w:tcW w:w="558" w:type="dxa"/>
            <w:vMerge w:val="continue"/>
            <w:vAlign w:val="center"/>
          </w:tcPr>
          <w:p>
            <w:pPr>
              <w:widowControl/>
              <w:snapToGrid w:val="0"/>
              <w:spacing w:line="360" w:lineRule="exact"/>
              <w:jc w:val="center"/>
              <w:rPr>
                <w:rFonts w:hint="eastAsia" w:ascii="宋体" w:cs="宋体"/>
                <w:color w:val="000000"/>
                <w:sz w:val="18"/>
                <w:szCs w:val="18"/>
                <w:lang w:val="en-US" w:eastAsia="zh-CN"/>
              </w:rPr>
            </w:pPr>
          </w:p>
        </w:tc>
        <w:tc>
          <w:tcPr>
            <w:tcW w:w="1077"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13"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215"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8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特殊工艺食用盐</w:t>
            </w:r>
          </w:p>
        </w:tc>
        <w:tc>
          <w:tcPr>
            <w:tcW w:w="4725"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2721-2015《食品安全国家标准 食用盐》</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2762-2017《食品安全国家标准 食品中污染物限量》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2760-2014《食品安全国家标准 食品添加剂使用标准》</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GB 26878-2011《食品安全国家标准 食用盐碘含量》</w:t>
            </w:r>
          </w:p>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产品质量明示指标</w:t>
            </w:r>
          </w:p>
        </w:tc>
        <w:tc>
          <w:tcPr>
            <w:tcW w:w="4099" w:type="dxa"/>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碘（以I计）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氯化钠（以干基计）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钡（以Ba计）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铅（以Pb计）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总砷（以As计）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镉（以Cd计）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总汞（以Hg计）</w:t>
            </w:r>
            <w:r>
              <w:rPr>
                <w:rFonts w:hint="eastAsia" w:ascii="宋体" w:hAnsi="宋体" w:cs="宋体"/>
                <w:color w:val="000000"/>
                <w:kern w:val="2"/>
                <w:sz w:val="18"/>
                <w:szCs w:val="18"/>
                <w:lang w:val="en-US" w:eastAsia="zh-CN" w:bidi="ar-SA"/>
              </w:rPr>
              <w:t>、</w:t>
            </w:r>
            <w:r>
              <w:rPr>
                <w:rFonts w:hint="eastAsia" w:ascii="宋体" w:hAnsi="宋体" w:eastAsia="宋体" w:cs="宋体"/>
                <w:color w:val="000000"/>
                <w:kern w:val="2"/>
                <w:sz w:val="18"/>
                <w:szCs w:val="18"/>
                <w:lang w:val="en-US" w:eastAsia="zh-CN" w:bidi="ar-SA"/>
              </w:rPr>
              <w:t>亚铁氰化钾/亚铁氰化钠（以亚铁氰根计）</w:t>
            </w:r>
          </w:p>
        </w:tc>
      </w:tr>
    </w:tbl>
    <w:p>
      <w:pPr>
        <w:spacing w:line="600" w:lineRule="exact"/>
        <w:textAlignment w:val="baseline"/>
        <w:rPr>
          <w:rFonts w:ascii="宋体" w:cs="Times New Roman"/>
          <w:color w:val="000000"/>
          <w:kern w:val="0"/>
          <w:sz w:val="18"/>
          <w:szCs w:val="18"/>
        </w:rPr>
      </w:pPr>
    </w:p>
    <w:sectPr>
      <w:pgSz w:w="16838" w:h="11906" w:orient="landscape"/>
      <w:pgMar w:top="1418"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20472"/>
    <w:rsid w:val="00021A44"/>
    <w:rsid w:val="000334EB"/>
    <w:rsid w:val="00057C9D"/>
    <w:rsid w:val="000644E2"/>
    <w:rsid w:val="00075FA6"/>
    <w:rsid w:val="000800AE"/>
    <w:rsid w:val="00097E5A"/>
    <w:rsid w:val="000A077E"/>
    <w:rsid w:val="000A1CA7"/>
    <w:rsid w:val="000A1D22"/>
    <w:rsid w:val="000B050A"/>
    <w:rsid w:val="000B6096"/>
    <w:rsid w:val="000B6C93"/>
    <w:rsid w:val="000C18BE"/>
    <w:rsid w:val="000D287B"/>
    <w:rsid w:val="0010014F"/>
    <w:rsid w:val="00102897"/>
    <w:rsid w:val="00113712"/>
    <w:rsid w:val="00156C2C"/>
    <w:rsid w:val="001570A9"/>
    <w:rsid w:val="00170E37"/>
    <w:rsid w:val="00177A5D"/>
    <w:rsid w:val="00184B83"/>
    <w:rsid w:val="001A6B3F"/>
    <w:rsid w:val="001B57E1"/>
    <w:rsid w:val="001B7BFF"/>
    <w:rsid w:val="001C5998"/>
    <w:rsid w:val="001F4806"/>
    <w:rsid w:val="00213A57"/>
    <w:rsid w:val="00220C3B"/>
    <w:rsid w:val="00272DBE"/>
    <w:rsid w:val="00296F29"/>
    <w:rsid w:val="002A1746"/>
    <w:rsid w:val="002A4B60"/>
    <w:rsid w:val="002A6787"/>
    <w:rsid w:val="002C0406"/>
    <w:rsid w:val="002C6A5D"/>
    <w:rsid w:val="002E4463"/>
    <w:rsid w:val="002E4D72"/>
    <w:rsid w:val="002E6CE1"/>
    <w:rsid w:val="002F5188"/>
    <w:rsid w:val="002F5D8F"/>
    <w:rsid w:val="00333515"/>
    <w:rsid w:val="00334816"/>
    <w:rsid w:val="00357F27"/>
    <w:rsid w:val="0038633A"/>
    <w:rsid w:val="00392B20"/>
    <w:rsid w:val="003943E0"/>
    <w:rsid w:val="003A1E99"/>
    <w:rsid w:val="003A3AFE"/>
    <w:rsid w:val="003A4B94"/>
    <w:rsid w:val="003B51E2"/>
    <w:rsid w:val="003D0B14"/>
    <w:rsid w:val="003E1542"/>
    <w:rsid w:val="003F6312"/>
    <w:rsid w:val="003F6FCD"/>
    <w:rsid w:val="00417336"/>
    <w:rsid w:val="00417B40"/>
    <w:rsid w:val="00431EC2"/>
    <w:rsid w:val="004471F2"/>
    <w:rsid w:val="00457D30"/>
    <w:rsid w:val="0047273E"/>
    <w:rsid w:val="00483E26"/>
    <w:rsid w:val="004A2F45"/>
    <w:rsid w:val="004C40C8"/>
    <w:rsid w:val="004D5FF8"/>
    <w:rsid w:val="004D6D8C"/>
    <w:rsid w:val="004F3122"/>
    <w:rsid w:val="00506EEA"/>
    <w:rsid w:val="0051721E"/>
    <w:rsid w:val="0054294C"/>
    <w:rsid w:val="005643F4"/>
    <w:rsid w:val="005771A5"/>
    <w:rsid w:val="00584C1F"/>
    <w:rsid w:val="00596CE3"/>
    <w:rsid w:val="005A47F0"/>
    <w:rsid w:val="005B0C1C"/>
    <w:rsid w:val="005B469F"/>
    <w:rsid w:val="005D7D45"/>
    <w:rsid w:val="005E2E5E"/>
    <w:rsid w:val="005F6AB2"/>
    <w:rsid w:val="00621DA4"/>
    <w:rsid w:val="00656EA2"/>
    <w:rsid w:val="00687316"/>
    <w:rsid w:val="0069030F"/>
    <w:rsid w:val="0069349E"/>
    <w:rsid w:val="006A4A55"/>
    <w:rsid w:val="006A6837"/>
    <w:rsid w:val="006B139A"/>
    <w:rsid w:val="006F32DE"/>
    <w:rsid w:val="00721330"/>
    <w:rsid w:val="00745A18"/>
    <w:rsid w:val="007509C7"/>
    <w:rsid w:val="00757C06"/>
    <w:rsid w:val="0076408A"/>
    <w:rsid w:val="0076553E"/>
    <w:rsid w:val="007679F1"/>
    <w:rsid w:val="00770EEA"/>
    <w:rsid w:val="00772B6F"/>
    <w:rsid w:val="00772F9F"/>
    <w:rsid w:val="007732F1"/>
    <w:rsid w:val="0077575E"/>
    <w:rsid w:val="00776FB3"/>
    <w:rsid w:val="0077710D"/>
    <w:rsid w:val="00782DD9"/>
    <w:rsid w:val="00783A82"/>
    <w:rsid w:val="0078450E"/>
    <w:rsid w:val="007B0FA7"/>
    <w:rsid w:val="007E7E63"/>
    <w:rsid w:val="007F0457"/>
    <w:rsid w:val="007F16D0"/>
    <w:rsid w:val="00804CA1"/>
    <w:rsid w:val="00806884"/>
    <w:rsid w:val="00807CA9"/>
    <w:rsid w:val="0082346C"/>
    <w:rsid w:val="00830D7B"/>
    <w:rsid w:val="00831A6E"/>
    <w:rsid w:val="00831EDD"/>
    <w:rsid w:val="00840532"/>
    <w:rsid w:val="00854D09"/>
    <w:rsid w:val="008550AE"/>
    <w:rsid w:val="008572D6"/>
    <w:rsid w:val="0086226C"/>
    <w:rsid w:val="008743A6"/>
    <w:rsid w:val="0087748F"/>
    <w:rsid w:val="00880F04"/>
    <w:rsid w:val="00895177"/>
    <w:rsid w:val="008C24F5"/>
    <w:rsid w:val="008C7974"/>
    <w:rsid w:val="008D7ECA"/>
    <w:rsid w:val="008E1C89"/>
    <w:rsid w:val="00910447"/>
    <w:rsid w:val="009125A7"/>
    <w:rsid w:val="0092760E"/>
    <w:rsid w:val="00931FA9"/>
    <w:rsid w:val="00933A31"/>
    <w:rsid w:val="0094303D"/>
    <w:rsid w:val="00961E31"/>
    <w:rsid w:val="0096604C"/>
    <w:rsid w:val="009669E4"/>
    <w:rsid w:val="00966ED2"/>
    <w:rsid w:val="009702EA"/>
    <w:rsid w:val="009723FD"/>
    <w:rsid w:val="0098153C"/>
    <w:rsid w:val="009B0D33"/>
    <w:rsid w:val="009B17D9"/>
    <w:rsid w:val="009B2B3B"/>
    <w:rsid w:val="009B7074"/>
    <w:rsid w:val="009C78F5"/>
    <w:rsid w:val="009D0BD1"/>
    <w:rsid w:val="009D113B"/>
    <w:rsid w:val="009D7D48"/>
    <w:rsid w:val="009E0C03"/>
    <w:rsid w:val="009F4DF7"/>
    <w:rsid w:val="009F4E9A"/>
    <w:rsid w:val="00A01F57"/>
    <w:rsid w:val="00A07CB7"/>
    <w:rsid w:val="00A1575B"/>
    <w:rsid w:val="00A257DB"/>
    <w:rsid w:val="00A27103"/>
    <w:rsid w:val="00A44D17"/>
    <w:rsid w:val="00A575AB"/>
    <w:rsid w:val="00A701D5"/>
    <w:rsid w:val="00A73BCA"/>
    <w:rsid w:val="00A80158"/>
    <w:rsid w:val="00A94006"/>
    <w:rsid w:val="00AB29D0"/>
    <w:rsid w:val="00AB7501"/>
    <w:rsid w:val="00AC1A0C"/>
    <w:rsid w:val="00AE1F23"/>
    <w:rsid w:val="00AE3CE7"/>
    <w:rsid w:val="00B25843"/>
    <w:rsid w:val="00B2683B"/>
    <w:rsid w:val="00B2770C"/>
    <w:rsid w:val="00B30AAD"/>
    <w:rsid w:val="00B44A31"/>
    <w:rsid w:val="00B5586D"/>
    <w:rsid w:val="00B6513D"/>
    <w:rsid w:val="00B75502"/>
    <w:rsid w:val="00B77214"/>
    <w:rsid w:val="00B92D7D"/>
    <w:rsid w:val="00B976AD"/>
    <w:rsid w:val="00BA55D1"/>
    <w:rsid w:val="00BD057A"/>
    <w:rsid w:val="00BD0C90"/>
    <w:rsid w:val="00BE6929"/>
    <w:rsid w:val="00BF148C"/>
    <w:rsid w:val="00C02532"/>
    <w:rsid w:val="00C33DC3"/>
    <w:rsid w:val="00C35DBC"/>
    <w:rsid w:val="00C43554"/>
    <w:rsid w:val="00C4522E"/>
    <w:rsid w:val="00C945C2"/>
    <w:rsid w:val="00CA264C"/>
    <w:rsid w:val="00CB47DF"/>
    <w:rsid w:val="00CC6249"/>
    <w:rsid w:val="00CD5FAA"/>
    <w:rsid w:val="00CE13D2"/>
    <w:rsid w:val="00CE4815"/>
    <w:rsid w:val="00CE73CD"/>
    <w:rsid w:val="00CF0D96"/>
    <w:rsid w:val="00D02604"/>
    <w:rsid w:val="00D13D9A"/>
    <w:rsid w:val="00D417A6"/>
    <w:rsid w:val="00D41D67"/>
    <w:rsid w:val="00D47DC9"/>
    <w:rsid w:val="00D71A50"/>
    <w:rsid w:val="00D82BFE"/>
    <w:rsid w:val="00D864E8"/>
    <w:rsid w:val="00D86D9B"/>
    <w:rsid w:val="00DB10E3"/>
    <w:rsid w:val="00DB35A6"/>
    <w:rsid w:val="00DD3C2E"/>
    <w:rsid w:val="00DD7C36"/>
    <w:rsid w:val="00DF497A"/>
    <w:rsid w:val="00DF5284"/>
    <w:rsid w:val="00DF5F7D"/>
    <w:rsid w:val="00E06234"/>
    <w:rsid w:val="00E31D88"/>
    <w:rsid w:val="00E34012"/>
    <w:rsid w:val="00E45F03"/>
    <w:rsid w:val="00E5072A"/>
    <w:rsid w:val="00E610CF"/>
    <w:rsid w:val="00E623E6"/>
    <w:rsid w:val="00E6313E"/>
    <w:rsid w:val="00E74907"/>
    <w:rsid w:val="00E764E7"/>
    <w:rsid w:val="00E82D78"/>
    <w:rsid w:val="00E91EE9"/>
    <w:rsid w:val="00E92087"/>
    <w:rsid w:val="00E92160"/>
    <w:rsid w:val="00EA1F06"/>
    <w:rsid w:val="00EB4141"/>
    <w:rsid w:val="00EC00A4"/>
    <w:rsid w:val="00EC22DC"/>
    <w:rsid w:val="00EC3160"/>
    <w:rsid w:val="00ED70CB"/>
    <w:rsid w:val="00EE12C0"/>
    <w:rsid w:val="00EF608B"/>
    <w:rsid w:val="00F123FB"/>
    <w:rsid w:val="00F20699"/>
    <w:rsid w:val="00F232B8"/>
    <w:rsid w:val="00F42123"/>
    <w:rsid w:val="00F43C55"/>
    <w:rsid w:val="00F47F39"/>
    <w:rsid w:val="00F54AE5"/>
    <w:rsid w:val="00F56DA2"/>
    <w:rsid w:val="00F643E1"/>
    <w:rsid w:val="00F77D89"/>
    <w:rsid w:val="00F86640"/>
    <w:rsid w:val="00F9271E"/>
    <w:rsid w:val="00FD13F8"/>
    <w:rsid w:val="00FD24DB"/>
    <w:rsid w:val="00FE1ED3"/>
    <w:rsid w:val="00FE3F84"/>
    <w:rsid w:val="00FF23A3"/>
    <w:rsid w:val="00FF4C9A"/>
    <w:rsid w:val="01347C69"/>
    <w:rsid w:val="03B8571A"/>
    <w:rsid w:val="03EE3B77"/>
    <w:rsid w:val="04AB2539"/>
    <w:rsid w:val="07107AFC"/>
    <w:rsid w:val="079B1CAA"/>
    <w:rsid w:val="08E9780C"/>
    <w:rsid w:val="09AE1034"/>
    <w:rsid w:val="09FF0129"/>
    <w:rsid w:val="0A0611D6"/>
    <w:rsid w:val="0AD6181C"/>
    <w:rsid w:val="0B7169C8"/>
    <w:rsid w:val="0E4B23CB"/>
    <w:rsid w:val="0EC570B2"/>
    <w:rsid w:val="0FAA3555"/>
    <w:rsid w:val="1114193C"/>
    <w:rsid w:val="12607AD5"/>
    <w:rsid w:val="12AB2CB5"/>
    <w:rsid w:val="13542691"/>
    <w:rsid w:val="137F5235"/>
    <w:rsid w:val="13FB6F95"/>
    <w:rsid w:val="14030150"/>
    <w:rsid w:val="16027150"/>
    <w:rsid w:val="16896315"/>
    <w:rsid w:val="179D5689"/>
    <w:rsid w:val="183015E8"/>
    <w:rsid w:val="18F37BAE"/>
    <w:rsid w:val="193D32E9"/>
    <w:rsid w:val="19431C56"/>
    <w:rsid w:val="19696CF7"/>
    <w:rsid w:val="1C8B1BF3"/>
    <w:rsid w:val="1D051C5B"/>
    <w:rsid w:val="1D5029AA"/>
    <w:rsid w:val="1D682F98"/>
    <w:rsid w:val="1DF5369D"/>
    <w:rsid w:val="1FFB52D3"/>
    <w:rsid w:val="21AE004B"/>
    <w:rsid w:val="23EB4A74"/>
    <w:rsid w:val="24394317"/>
    <w:rsid w:val="24AB7392"/>
    <w:rsid w:val="25264285"/>
    <w:rsid w:val="25A119D4"/>
    <w:rsid w:val="26EA1046"/>
    <w:rsid w:val="27322E4F"/>
    <w:rsid w:val="27AF4BA5"/>
    <w:rsid w:val="28A6372A"/>
    <w:rsid w:val="28BD5771"/>
    <w:rsid w:val="28DF0C59"/>
    <w:rsid w:val="2907187F"/>
    <w:rsid w:val="29B97189"/>
    <w:rsid w:val="2A056C2B"/>
    <w:rsid w:val="2B3E0164"/>
    <w:rsid w:val="2B6E7E2B"/>
    <w:rsid w:val="2BE2486C"/>
    <w:rsid w:val="2CF252D3"/>
    <w:rsid w:val="2F494B49"/>
    <w:rsid w:val="3015654A"/>
    <w:rsid w:val="30311EBB"/>
    <w:rsid w:val="30537ED1"/>
    <w:rsid w:val="31006986"/>
    <w:rsid w:val="31011C61"/>
    <w:rsid w:val="33804D20"/>
    <w:rsid w:val="33C823CA"/>
    <w:rsid w:val="341552A9"/>
    <w:rsid w:val="34F61F77"/>
    <w:rsid w:val="350658EB"/>
    <w:rsid w:val="3548404D"/>
    <w:rsid w:val="35721096"/>
    <w:rsid w:val="364C3D59"/>
    <w:rsid w:val="37C6529E"/>
    <w:rsid w:val="384F258A"/>
    <w:rsid w:val="3A246B9B"/>
    <w:rsid w:val="3C24326C"/>
    <w:rsid w:val="3D0E3F32"/>
    <w:rsid w:val="3F9523ED"/>
    <w:rsid w:val="3FCD066B"/>
    <w:rsid w:val="3FEF03D6"/>
    <w:rsid w:val="40561BFB"/>
    <w:rsid w:val="41FD3E29"/>
    <w:rsid w:val="4242097E"/>
    <w:rsid w:val="42600E82"/>
    <w:rsid w:val="430E2072"/>
    <w:rsid w:val="43B576DD"/>
    <w:rsid w:val="448320E4"/>
    <w:rsid w:val="4510012C"/>
    <w:rsid w:val="489D43BB"/>
    <w:rsid w:val="4A7F1CD0"/>
    <w:rsid w:val="4B5251A1"/>
    <w:rsid w:val="4B7B4360"/>
    <w:rsid w:val="4BAC0E9D"/>
    <w:rsid w:val="4C4B7774"/>
    <w:rsid w:val="4D5D50A1"/>
    <w:rsid w:val="4E4062D7"/>
    <w:rsid w:val="4EDB6A25"/>
    <w:rsid w:val="4FA37E96"/>
    <w:rsid w:val="4FC27A55"/>
    <w:rsid w:val="509D6177"/>
    <w:rsid w:val="51181F7A"/>
    <w:rsid w:val="534010FC"/>
    <w:rsid w:val="53C3756F"/>
    <w:rsid w:val="559D656B"/>
    <w:rsid w:val="5622492D"/>
    <w:rsid w:val="56324344"/>
    <w:rsid w:val="56A24FF4"/>
    <w:rsid w:val="59847EEC"/>
    <w:rsid w:val="5A521C48"/>
    <w:rsid w:val="5ACF60FC"/>
    <w:rsid w:val="5DAD7402"/>
    <w:rsid w:val="5DD60C8D"/>
    <w:rsid w:val="5EB60EC0"/>
    <w:rsid w:val="603C3D4B"/>
    <w:rsid w:val="60411D3A"/>
    <w:rsid w:val="60873B69"/>
    <w:rsid w:val="6095650F"/>
    <w:rsid w:val="61B94FCE"/>
    <w:rsid w:val="61D949E5"/>
    <w:rsid w:val="65A733A9"/>
    <w:rsid w:val="66041016"/>
    <w:rsid w:val="66564A62"/>
    <w:rsid w:val="669E1249"/>
    <w:rsid w:val="66CF21D7"/>
    <w:rsid w:val="675337A2"/>
    <w:rsid w:val="683E5B31"/>
    <w:rsid w:val="68456BAE"/>
    <w:rsid w:val="68717262"/>
    <w:rsid w:val="68B56971"/>
    <w:rsid w:val="6A221D5B"/>
    <w:rsid w:val="6A3407EC"/>
    <w:rsid w:val="6B320D4C"/>
    <w:rsid w:val="6D54524C"/>
    <w:rsid w:val="6E981469"/>
    <w:rsid w:val="704264B3"/>
    <w:rsid w:val="709275B6"/>
    <w:rsid w:val="713F4727"/>
    <w:rsid w:val="71AE6CB5"/>
    <w:rsid w:val="73BA5706"/>
    <w:rsid w:val="746630B1"/>
    <w:rsid w:val="746C1D4A"/>
    <w:rsid w:val="74880DF2"/>
    <w:rsid w:val="75F133A8"/>
    <w:rsid w:val="767C572B"/>
    <w:rsid w:val="77492B3A"/>
    <w:rsid w:val="774C69E0"/>
    <w:rsid w:val="77982204"/>
    <w:rsid w:val="77D70206"/>
    <w:rsid w:val="78164610"/>
    <w:rsid w:val="788A2401"/>
    <w:rsid w:val="78DE190C"/>
    <w:rsid w:val="79213AE3"/>
    <w:rsid w:val="794321A1"/>
    <w:rsid w:val="79E2563E"/>
    <w:rsid w:val="7BAB785A"/>
    <w:rsid w:val="7C341000"/>
    <w:rsid w:val="7C5B37D4"/>
    <w:rsid w:val="7CED610A"/>
    <w:rsid w:val="7D1E4642"/>
    <w:rsid w:val="7D834B30"/>
    <w:rsid w:val="7D9B4CBE"/>
    <w:rsid w:val="7DCA5B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firstLineChars="200"/>
    </w:pPr>
    <w:rPr>
      <w:rFonts w:ascii="Calibri" w:hAnsi="Calibri"/>
    </w:rPr>
  </w:style>
  <w:style w:type="paragraph" w:styleId="3">
    <w:name w:val="annotation text"/>
    <w:basedOn w:val="1"/>
    <w:link w:val="11"/>
    <w:semiHidden/>
    <w:qFormat/>
    <w:uiPriority w:val="99"/>
    <w:pPr>
      <w:jc w:val="left"/>
    </w:p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szCs w:val="24"/>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Comment Text Char"/>
    <w:basedOn w:val="8"/>
    <w:link w:val="3"/>
    <w:semiHidden/>
    <w:qFormat/>
    <w:uiPriority w:val="99"/>
    <w:rPr>
      <w:rFonts w:ascii="Calibri" w:hAnsi="Calibri" w:cs="Calibri"/>
      <w:szCs w:val="21"/>
    </w:rPr>
  </w:style>
  <w:style w:type="character" w:customStyle="1" w:styleId="12">
    <w:name w:val="Balloon Text Char"/>
    <w:basedOn w:val="8"/>
    <w:link w:val="4"/>
    <w:semiHidden/>
    <w:qFormat/>
    <w:locked/>
    <w:uiPriority w:val="99"/>
    <w:rPr>
      <w:rFonts w:ascii="Calibri" w:hAnsi="Calibri" w:eastAsia="宋体" w:cs="Calibri"/>
      <w:kern w:val="2"/>
      <w:sz w:val="18"/>
      <w:szCs w:val="18"/>
    </w:rPr>
  </w:style>
  <w:style w:type="character" w:customStyle="1" w:styleId="13">
    <w:name w:val="Footer Char"/>
    <w:basedOn w:val="8"/>
    <w:link w:val="5"/>
    <w:qFormat/>
    <w:locked/>
    <w:uiPriority w:val="99"/>
    <w:rPr>
      <w:sz w:val="18"/>
      <w:szCs w:val="18"/>
    </w:rPr>
  </w:style>
  <w:style w:type="character" w:customStyle="1" w:styleId="14">
    <w:name w:val="Header Char"/>
    <w:basedOn w:val="8"/>
    <w:link w:val="6"/>
    <w:qFormat/>
    <w:locked/>
    <w:uiPriority w:val="99"/>
    <w:rPr>
      <w:sz w:val="18"/>
      <w:szCs w:val="18"/>
    </w:rPr>
  </w:style>
  <w:style w:type="character" w:customStyle="1" w:styleId="15">
    <w:name w:val="font21"/>
    <w:basedOn w:val="8"/>
    <w:qFormat/>
    <w:uiPriority w:val="99"/>
    <w:rPr>
      <w:rFonts w:ascii="宋体" w:hAnsi="宋体" w:eastAsia="宋体" w:cs="宋体"/>
      <w:color w:val="000000"/>
      <w:sz w:val="18"/>
      <w:szCs w:val="18"/>
      <w:u w:val="none"/>
    </w:rPr>
  </w:style>
  <w:style w:type="character" w:customStyle="1" w:styleId="16">
    <w:name w:val="font11"/>
    <w:basedOn w:val="8"/>
    <w:qFormat/>
    <w:uiPriority w:val="99"/>
    <w:rPr>
      <w:rFonts w:ascii="宋体" w:hAnsi="宋体" w:eastAsia="宋体" w:cs="宋体"/>
      <w:color w:val="000000"/>
      <w:sz w:val="18"/>
      <w:szCs w:val="18"/>
      <w:u w:val="none"/>
      <w:vertAlign w:val="subscript"/>
    </w:rPr>
  </w:style>
  <w:style w:type="character" w:customStyle="1" w:styleId="17">
    <w:name w:val="font31"/>
    <w:basedOn w:val="8"/>
    <w:qFormat/>
    <w:uiPriority w:val="99"/>
    <w:rPr>
      <w:rFonts w:ascii="宋体" w:hAnsi="宋体" w:eastAsia="宋体" w:cs="宋体"/>
      <w:b/>
      <w:bCs/>
      <w:color w:val="000000"/>
      <w:sz w:val="18"/>
      <w:szCs w:val="18"/>
      <w:u w:val="none"/>
    </w:rPr>
  </w:style>
  <w:style w:type="character" w:customStyle="1" w:styleId="18">
    <w:name w:val="font41"/>
    <w:basedOn w:val="8"/>
    <w:qFormat/>
    <w:uiPriority w:val="99"/>
    <w:rPr>
      <w:rFonts w:ascii="宋体" w:hAnsi="宋体" w:eastAsia="宋体" w:cs="宋体"/>
      <w:color w:val="000000"/>
      <w:sz w:val="18"/>
      <w:szCs w:val="18"/>
      <w:u w:val="none"/>
      <w:vertAlign w:val="superscript"/>
    </w:rPr>
  </w:style>
  <w:style w:type="character" w:customStyle="1" w:styleId="19">
    <w:name w:val="font91"/>
    <w:basedOn w:val="8"/>
    <w:qFormat/>
    <w:uiPriority w:val="99"/>
    <w:rPr>
      <w:rFonts w:ascii="宋体" w:hAnsi="宋体" w:eastAsia="宋体" w:cs="宋体"/>
      <w:color w:val="000000"/>
      <w:sz w:val="20"/>
      <w:szCs w:val="20"/>
      <w:u w:val="none"/>
      <w:vertAlign w:val="subscript"/>
    </w:rPr>
  </w:style>
  <w:style w:type="character" w:customStyle="1" w:styleId="20">
    <w:name w:val="font131"/>
    <w:basedOn w:val="8"/>
    <w:qFormat/>
    <w:uiPriority w:val="99"/>
    <w:rPr>
      <w:rFonts w:ascii="宋体" w:hAnsi="宋体" w:eastAsia="宋体" w:cs="宋体"/>
      <w:color w:val="000000"/>
      <w:sz w:val="20"/>
      <w:szCs w:val="20"/>
      <w:u w:val="none"/>
      <w:vertAlign w:val="superscript"/>
    </w:rPr>
  </w:style>
  <w:style w:type="character" w:customStyle="1" w:styleId="21">
    <w:name w:val="font181"/>
    <w:basedOn w:val="8"/>
    <w:qFormat/>
    <w:uiPriority w:val="99"/>
    <w:rPr>
      <w:rFonts w:ascii="宋体" w:hAnsi="宋体" w:eastAsia="宋体" w:cs="宋体"/>
      <w:b/>
      <w:bCs/>
      <w:color w:val="FF0000"/>
      <w:sz w:val="20"/>
      <w:szCs w:val="20"/>
      <w:u w:val="none"/>
    </w:rPr>
  </w:style>
  <w:style w:type="character" w:customStyle="1" w:styleId="22">
    <w:name w:val="font281"/>
    <w:basedOn w:val="8"/>
    <w:qFormat/>
    <w:uiPriority w:val="99"/>
    <w:rPr>
      <w:rFonts w:ascii="宋体" w:hAnsi="宋体" w:eastAsia="宋体" w:cs="宋体"/>
      <w:b/>
      <w:bCs/>
      <w:color w:val="000000"/>
      <w:sz w:val="20"/>
      <w:szCs w:val="20"/>
      <w:u w:val="none"/>
    </w:rPr>
  </w:style>
  <w:style w:type="character" w:customStyle="1" w:styleId="23">
    <w:name w:val="font221"/>
    <w:basedOn w:val="8"/>
    <w:qFormat/>
    <w:uiPriority w:val="99"/>
    <w:rPr>
      <w:rFonts w:ascii="宋体" w:hAnsi="宋体" w:eastAsia="宋体" w:cs="宋体"/>
      <w:color w:val="000000"/>
      <w:sz w:val="20"/>
      <w:szCs w:val="20"/>
      <w:u w:val="none"/>
    </w:rPr>
  </w:style>
  <w:style w:type="character" w:customStyle="1" w:styleId="24">
    <w:name w:val="font61"/>
    <w:basedOn w:val="8"/>
    <w:qFormat/>
    <w:uiPriority w:val="99"/>
    <w:rPr>
      <w:rFonts w:ascii="宋体" w:hAnsi="宋体" w:eastAsia="宋体" w:cs="宋体"/>
      <w:color w:val="000000"/>
      <w:sz w:val="20"/>
      <w:szCs w:val="20"/>
      <w:u w:val="none"/>
    </w:rPr>
  </w:style>
  <w:style w:type="character" w:customStyle="1" w:styleId="25">
    <w:name w:val="font241"/>
    <w:basedOn w:val="8"/>
    <w:qFormat/>
    <w:uiPriority w:val="99"/>
    <w:rPr>
      <w:rFonts w:ascii="宋体" w:hAnsi="宋体" w:eastAsia="宋体" w:cs="宋体"/>
      <w:color w:val="000000"/>
      <w:sz w:val="20"/>
      <w:szCs w:val="20"/>
      <w:u w:val="none"/>
      <w:vertAlign w:val="subscript"/>
    </w:rPr>
  </w:style>
  <w:style w:type="character" w:customStyle="1" w:styleId="26">
    <w:name w:val="font212"/>
    <w:basedOn w:val="8"/>
    <w:qFormat/>
    <w:uiPriority w:val="99"/>
    <w:rPr>
      <w:rFonts w:ascii="宋体" w:hAnsi="宋体" w:eastAsia="宋体" w:cs="宋体"/>
      <w:color w:val="FF0000"/>
      <w:sz w:val="20"/>
      <w:szCs w:val="20"/>
      <w:u w:val="none"/>
    </w:rPr>
  </w:style>
  <w:style w:type="character" w:customStyle="1" w:styleId="27">
    <w:name w:val="font201"/>
    <w:basedOn w:val="8"/>
    <w:qFormat/>
    <w:uiPriority w:val="99"/>
    <w:rPr>
      <w:rFonts w:ascii="宋体" w:hAnsi="宋体" w:eastAsia="宋体" w:cs="宋体"/>
      <w:color w:val="000000"/>
      <w:sz w:val="18"/>
      <w:szCs w:val="18"/>
      <w:u w:val="none"/>
    </w:rPr>
  </w:style>
  <w:style w:type="character" w:customStyle="1" w:styleId="28">
    <w:name w:val="font261"/>
    <w:basedOn w:val="8"/>
    <w:qFormat/>
    <w:uiPriority w:val="99"/>
    <w:rPr>
      <w:rFonts w:ascii="宋体" w:hAnsi="宋体" w:eastAsia="宋体" w:cs="宋体"/>
      <w:color w:val="000000"/>
      <w:sz w:val="18"/>
      <w:szCs w:val="18"/>
      <w:u w:val="none"/>
      <w:vertAlign w:val="superscript"/>
    </w:rPr>
  </w:style>
  <w:style w:type="character" w:customStyle="1" w:styleId="29">
    <w:name w:val="font171"/>
    <w:basedOn w:val="8"/>
    <w:qFormat/>
    <w:uiPriority w:val="99"/>
    <w:rPr>
      <w:rFonts w:ascii="宋体" w:hAnsi="宋体" w:eastAsia="宋体" w:cs="宋体"/>
      <w:color w:val="000000"/>
      <w:sz w:val="18"/>
      <w:szCs w:val="18"/>
      <w:u w:val="none"/>
    </w:rPr>
  </w:style>
  <w:style w:type="character" w:customStyle="1" w:styleId="30">
    <w:name w:val="font81"/>
    <w:basedOn w:val="8"/>
    <w:qFormat/>
    <w:uiPriority w:val="99"/>
    <w:rPr>
      <w:rFonts w:ascii="宋体" w:hAnsi="宋体" w:eastAsia="宋体" w:cs="宋体"/>
      <w:b/>
      <w:bCs/>
      <w:color w:val="000000"/>
      <w:sz w:val="20"/>
      <w:szCs w:val="20"/>
      <w:u w:val="none"/>
    </w:rPr>
  </w:style>
  <w:style w:type="character" w:customStyle="1" w:styleId="31">
    <w:name w:val="font01"/>
    <w:basedOn w:val="8"/>
    <w:qFormat/>
    <w:uiPriority w:val="99"/>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http://sdwm.org</Company>
  <Pages>1</Pages>
  <Words>18</Words>
  <Characters>104</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2017-09-01T08:15:00Z</dcterms:created>
  <dc:creator>SDWM</dc:creator>
  <cp:lastModifiedBy>Administrator</cp:lastModifiedBy>
  <cp:lastPrinted>2016-11-22T01:43:00Z</cp:lastPrinted>
  <dcterms:modified xsi:type="dcterms:W3CDTF">2021-04-16T02:59:36Z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