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4"/>
        </w:tabs>
        <w:spacing w:line="5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3"/>
        <w:gridCol w:w="1034"/>
        <w:gridCol w:w="1033"/>
        <w:gridCol w:w="1034"/>
        <w:gridCol w:w="1033"/>
        <w:gridCol w:w="1034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工程招标核准意见表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项目名称：环珠片区微改造项目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招标范围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招标组织形式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不采用</w:t>
            </w:r>
            <w:r>
              <w:rPr>
                <w:rFonts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eastAsia="黑体" w:cs="宋体"/>
                <w:kern w:val="0"/>
                <w:sz w:val="24"/>
              </w:rPr>
              <w:t>招标方式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全部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部分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自行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委托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公开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邀请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招标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建筑工程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核准意见：</w:t>
            </w:r>
            <w:r>
              <w:rPr>
                <w:rFonts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4"/>
              </w:rPr>
              <w:t xml:space="preserve">    根据《中华人民共和国招标投标法》、《中华人民共和国招标投标法实施条例》、《必须招标的工程项目规定的通知》、《广东省实施&lt;中华人民共和国招标投标法&gt;办法》和《省发展改革委关于印发&lt;工程建设项目招标事项审核工作指南&gt;的通知》的有关规定，本项目建筑工程核准采用全部招标、委托招标、公开招标。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广州市海珠区发展和改革局</w:t>
            </w:r>
          </w:p>
          <w:p>
            <w:pPr>
              <w:widowControl/>
              <w:spacing w:line="56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2021年12月6日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rui</dc:creator>
  <cp:lastModifiedBy>rui</cp:lastModifiedBy>
  <dcterms:modified xsi:type="dcterms:W3CDTF">2021-12-08T08:20:02Z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EBB40F43558348908E52228B24ACD3CA</vt:lpwstr>
  </property>
</Properties>
</file>