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/>
        </w:rPr>
      </w:pPr>
      <w:r>
        <w:rPr>
          <w:rFonts w:hint="eastAsia" w:ascii="黑体" w:hAnsi="黑体" w:eastAsia="黑体" w:cs="仿宋"/>
          <w:szCs w:val="32"/>
        </w:rPr>
        <w:t>附件</w:t>
      </w:r>
      <w:r>
        <w:rPr>
          <w:rFonts w:hint="eastAsia" w:ascii="黑体" w:hAnsi="黑体" w:eastAsia="黑体" w:cs="仿宋"/>
          <w:szCs w:val="32"/>
          <w:lang w:val="en-US" w:eastAsia="zh-CN"/>
        </w:rPr>
        <w:t>3</w:t>
      </w:r>
    </w:p>
    <w:p>
      <w:pPr>
        <w:spacing w:line="360" w:lineRule="auto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关于部分检验项目的说明</w:t>
      </w:r>
    </w:p>
    <w:p>
      <w:pPr>
        <w:ind w:firstLine="640" w:firstLineChars="200"/>
        <w:rPr>
          <w:rFonts w:hint="eastAsia" w:ascii="黑体" w:hAnsi="黑体" w:eastAsia="黑体" w:cs="黑体"/>
          <w:lang w:eastAsia="zh-CN"/>
        </w:rPr>
      </w:pPr>
    </w:p>
    <w:p>
      <w:pPr>
        <w:numPr>
          <w:ilvl w:val="0"/>
          <w:numId w:val="1"/>
        </w:numPr>
        <w:ind w:left="-320" w:leftChars="0" w:firstLine="64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标签</w:t>
      </w:r>
    </w:p>
    <w:p>
      <w:pPr>
        <w:ind w:firstLine="560" w:firstLineChars="200"/>
        <w:rPr>
          <w:rFonts w:hint="eastAsia" w:ascii="仿宋" w:hAnsi="仿宋" w:cs="仿宋"/>
          <w:sz w:val="28"/>
          <w:szCs w:val="28"/>
          <w:lang w:val="en-US" w:eastAsia="zh-CN"/>
        </w:rPr>
      </w:pPr>
      <w:r>
        <w:rPr>
          <w:rFonts w:hint="eastAsia" w:ascii="仿宋" w:hAnsi="仿宋" w:cs="仿宋"/>
          <w:sz w:val="28"/>
          <w:szCs w:val="28"/>
          <w:lang w:val="en-US" w:eastAsia="zh-CN"/>
        </w:rPr>
        <w:t>标签不合格原因可能是生产企业对GB 7718-2011及GB 28050-2011的条款内容不够清晰所致。食品标签标注的内容不规范。食品标签是向消费者传递产品信息的载体，食品包装标签未按照标准要求标示，可能不利于消费者直接了解产品信息。</w:t>
      </w:r>
    </w:p>
    <w:p>
      <w:pPr>
        <w:numPr>
          <w:ilvl w:val="0"/>
          <w:numId w:val="1"/>
        </w:numPr>
        <w:ind w:left="-320" w:leftChars="0" w:firstLine="64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水胺硫磷</w:t>
      </w:r>
    </w:p>
    <w:p>
      <w:pPr>
        <w:ind w:firstLine="560" w:firstLineChars="200"/>
        <w:rPr>
          <w:rFonts w:hint="eastAsia" w:ascii="仿宋" w:hAnsi="仿宋" w:cs="仿宋"/>
          <w:sz w:val="28"/>
          <w:szCs w:val="28"/>
          <w:lang w:val="en-US" w:eastAsia="zh-CN"/>
        </w:rPr>
      </w:pPr>
      <w:r>
        <w:rPr>
          <w:rFonts w:hint="eastAsia" w:ascii="仿宋" w:hAnsi="仿宋" w:cs="仿宋"/>
          <w:b w:val="0"/>
          <w:bCs w:val="0"/>
          <w:sz w:val="28"/>
          <w:szCs w:val="28"/>
          <w:lang w:val="en-US" w:eastAsia="zh-CN"/>
        </w:rPr>
        <w:t>水胺硫磷属于高毒农药，主要通过食道、皮肤和呼吸道引起中毒。少量的农药残留不会引起人体急性中毒，但长期食用农药残留超标的食品，对人体健康有一定影响。水胺硫磷超标的原因，可能是为快速控制病情加大用药量或未遵守采</w:t>
      </w:r>
      <w:r>
        <w:rPr>
          <w:rFonts w:hint="eastAsia" w:ascii="仿宋" w:hAnsi="仿宋" w:cs="仿宋"/>
          <w:sz w:val="28"/>
          <w:szCs w:val="28"/>
          <w:lang w:val="en-US" w:eastAsia="zh-CN"/>
        </w:rPr>
        <w:t>摘间隔期规定，致使上市销售时产品中的药物残留量未降解至标准限量值以下。</w:t>
      </w:r>
    </w:p>
    <w:p>
      <w:pPr>
        <w:numPr>
          <w:ilvl w:val="0"/>
          <w:numId w:val="1"/>
        </w:numPr>
        <w:ind w:left="-320" w:leftChars="0" w:firstLine="64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灭蝇胺</w:t>
      </w:r>
    </w:p>
    <w:p>
      <w:pPr>
        <w:ind w:firstLine="560" w:firstLineChars="200"/>
        <w:rPr>
          <w:rFonts w:hint="eastAsia" w:ascii="仿宋" w:hAnsi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cs="仿宋"/>
          <w:sz w:val="28"/>
          <w:szCs w:val="28"/>
          <w:lang w:val="en-US" w:eastAsia="zh-CN"/>
        </w:rPr>
        <w:t>灭</w:t>
      </w:r>
      <w:r>
        <w:rPr>
          <w:rFonts w:hint="eastAsia" w:ascii="仿宋" w:hAnsi="仿宋" w:cs="仿宋"/>
          <w:b w:val="0"/>
          <w:bCs w:val="0"/>
          <w:sz w:val="28"/>
          <w:szCs w:val="28"/>
          <w:lang w:val="en-US" w:eastAsia="zh-CN"/>
        </w:rPr>
        <w:t>蝇胺是一种具有触杀功能的昆虫生长调节剂，干扰蜕皮和蛹化。对美洲斑潜蝇等有较好防效。长期食用灭蝇胺残留超标的食品，对人体健康可能有一定影响。</w:t>
      </w:r>
    </w:p>
    <w:p>
      <w:pPr>
        <w:ind w:firstLine="560" w:firstLineChars="200"/>
        <w:rPr>
          <w:rFonts w:hint="eastAsia" w:ascii="仿宋" w:hAnsi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cs="仿宋"/>
          <w:b w:val="0"/>
          <w:bCs w:val="0"/>
          <w:sz w:val="28"/>
          <w:szCs w:val="28"/>
          <w:lang w:val="en-US" w:eastAsia="zh-CN"/>
        </w:rPr>
        <w:t>灭蝇胺超标的原因，可能是菜农对使用农药的安全间隔期不了解，从而违规使用或滥用农药。</w:t>
      </w:r>
    </w:p>
    <w:p>
      <w:pPr>
        <w:numPr>
          <w:ilvl w:val="0"/>
          <w:numId w:val="1"/>
        </w:numPr>
        <w:ind w:left="-320" w:leftChars="0" w:firstLine="640" w:firstLineChars="0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恩诺沙星</w:t>
      </w:r>
    </w:p>
    <w:p>
      <w:pPr>
        <w:ind w:firstLine="560" w:firstLineChars="200"/>
        <w:rPr>
          <w:rFonts w:hint="default" w:ascii="仿宋" w:hAnsi="仿宋" w:cs="仿宋"/>
          <w:sz w:val="28"/>
          <w:szCs w:val="28"/>
          <w:lang w:val="en-US" w:eastAsia="zh-CN"/>
        </w:rPr>
      </w:pPr>
      <w:r>
        <w:rPr>
          <w:rFonts w:hint="eastAsia" w:ascii="仿宋" w:hAnsi="仿宋" w:cs="仿宋"/>
          <w:b w:val="0"/>
          <w:bCs w:val="0"/>
          <w:sz w:val="28"/>
          <w:szCs w:val="28"/>
          <w:lang w:val="en-US" w:eastAsia="zh-CN"/>
        </w:rPr>
        <w:t>恩诺沙星作为一种兽药，应该是在养殖过程中，作为药物治疗疾病，但是没有经过停药期就把目标样品流通到市场上，生物未能正常代谢，这可能是有检出的原因。</w:t>
      </w:r>
      <w:r>
        <w:rPr>
          <w:rFonts w:hint="eastAsia" w:ascii="仿宋_GB2312" w:hAnsi="宋体" w:eastAsia="仿宋_GB2312"/>
          <w:sz w:val="28"/>
          <w:szCs w:val="28"/>
        </w:rPr>
        <w:t>喹诺酮类药物被广泛用于人和动物疾病的治疗，由于喹诺酮类药物在动物机体组织中的残留，人食用动物组织后喹诺酮类抗生素就在人体内残留蓄积，造成人体疾病对该药物的严重耐药性，影响人体疾病的治疗，从而影响该类药物的临床疗效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4D1A4A"/>
    <w:multiLevelType w:val="singleLevel"/>
    <w:tmpl w:val="D84D1A4A"/>
    <w:lvl w:ilvl="0" w:tentative="0">
      <w:start w:val="1"/>
      <w:numFmt w:val="chineseCounting"/>
      <w:suff w:val="nothing"/>
      <w:lvlText w:val="%1、"/>
      <w:lvlJc w:val="left"/>
      <w:pPr>
        <w:ind w:left="-3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F0E1D"/>
    <w:rsid w:val="01A902B3"/>
    <w:rsid w:val="020618B6"/>
    <w:rsid w:val="03F865E3"/>
    <w:rsid w:val="055407A7"/>
    <w:rsid w:val="164F58D9"/>
    <w:rsid w:val="1D413DE1"/>
    <w:rsid w:val="2154613E"/>
    <w:rsid w:val="21A54015"/>
    <w:rsid w:val="249C38D0"/>
    <w:rsid w:val="3387183D"/>
    <w:rsid w:val="3C9826AD"/>
    <w:rsid w:val="3F243C83"/>
    <w:rsid w:val="41A50209"/>
    <w:rsid w:val="4427092B"/>
    <w:rsid w:val="46D11EC9"/>
    <w:rsid w:val="475855C0"/>
    <w:rsid w:val="48BB2B39"/>
    <w:rsid w:val="51570E9D"/>
    <w:rsid w:val="56C147B2"/>
    <w:rsid w:val="588B0FBC"/>
    <w:rsid w:val="5A461A80"/>
    <w:rsid w:val="5AE806F1"/>
    <w:rsid w:val="5BDF0E1D"/>
    <w:rsid w:val="73596559"/>
    <w:rsid w:val="79445C47"/>
    <w:rsid w:val="7981049A"/>
    <w:rsid w:val="7A1F1C26"/>
    <w:rsid w:val="7AC320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2018-02-08T09:23:00Z</dcterms:created>
  <dc:creator>Administrator</dc:creator>
  <cp:lastModifiedBy>Administrator</cp:lastModifiedBy>
  <dcterms:modified xsi:type="dcterms:W3CDTF">2021-12-02T09:02:40Z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250AC76B8E2F4D01863BD5AEF2E9FBB0</vt:lpwstr>
  </property>
</Properties>
</file>