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-178" w:leftChars="-85" w:right="-153" w:rightChars="-73"/>
        <w:jc w:val="center"/>
        <w:textAlignment w:val="auto"/>
        <w:outlineLvl w:val="9"/>
        <w:rPr>
          <w:rFonts w:asci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广州市</w:t>
      </w:r>
      <w:r>
        <w:rPr>
          <w:rFonts w:hint="eastAsia" w:ascii="方正小标宋简体" w:eastAsia="方正小标宋简体" w:cs="方正小标宋简体"/>
          <w:sz w:val="44"/>
          <w:szCs w:val="44"/>
        </w:rPr>
        <w:t>海珠区</w:t>
      </w:r>
      <w:r>
        <w:rPr>
          <w:rFonts w:ascii="方正小标宋简体" w:eastAsia="方正小标宋简体" w:cs="方正小标宋简体"/>
          <w:sz w:val="44"/>
          <w:szCs w:val="44"/>
        </w:rPr>
        <w:t>人力资源和社会保障局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eastAsia="方正小标宋简体" w:cs="方正小标宋简体"/>
          <w:sz w:val="44"/>
          <w:szCs w:val="44"/>
        </w:rPr>
        <w:t>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-178" w:leftChars="-85" w:right="-153" w:rightChars="-73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行政许可实施和监督管理情况报告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78" w:leftChars="-85" w:right="-153" w:rightChars="-73"/>
        <w:jc w:val="center"/>
        <w:textAlignment w:val="auto"/>
        <w:outlineLvl w:val="9"/>
        <w:rPr>
          <w:rFonts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根据《广东省行政许可监督管理条例》有关规定和要求，现将我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年行政许可实施和监督管理情况报告如下：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3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截至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年12月31日，我局有行政许可事项4项，分别是劳务派遣经营许可、实行不定时工作制和综合计算工时工作制审批、民办职业培训学校设立审批、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人力资源服务许可审批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目前，这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4项行政许可事项均已进驻广东省政务服务网，并实现单点登录。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接收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申请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共计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277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另有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年年底受理在承诺期限内转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年办结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2021年全年，我局累计办结行政许可申请275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宗，审批同意275宗，无审批不同意的情况，其中劳务派遣经营许可审批82宗，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不定时工作制和综合计算工时工作制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审批84宗，民办职业培训学校审批26宗，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人力资源服务许可审批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83宗。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（一）依法实施情况。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一是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根据法律法规要求，把准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审批权限。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我局严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格按照法律法规、规范性文件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规定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，规范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许可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审批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范围、程序、条件，不存在变相设定或擅自增减行政许可条件实施行政许可的情况。严格按照省市区要求，切实落实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放管服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二是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审批标准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，细化审批内容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明确审批标准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的基础上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，对审查要点进行细化，明确每项事项需提交资料的审查要点，公开办事指南，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制作材料范本，严格按“双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”原则向社会公开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许可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三是着眼审批效能，推进许可增量提质。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2021年，我局4项行政许可审批办理量同比增长约8.27%，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针对业务量有所增加的情况，我局严格依法依规审批，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所有行政许可决定没有出现被申请行政复议、被提起行政诉讼的情形。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outlineLvl w:val="9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（二）公开公示情况。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30"/>
        <w:textAlignment w:val="auto"/>
        <w:outlineLvl w:val="9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一是公开办事指南。</w:t>
      </w:r>
      <w:r>
        <w:rPr>
          <w:rFonts w:hint="eastAsia" w:ascii="仿宋_GB2312" w:eastAsia="仿宋_GB2312" w:cs="仿宋_GB2312"/>
          <w:sz w:val="32"/>
          <w:szCs w:val="32"/>
        </w:rPr>
        <w:t>我局将统一规范的行政许可事项的实施主体、依据、程序、条件、期限、申请材料及办法、申请书格式文本、咨询投诉方式等信息以办事指南的形式，在广东政务服务网、海珠区政府门户网站公开，同时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在区政务中心窗口张贴办事指南二维码</w:t>
      </w:r>
      <w:r>
        <w:rPr>
          <w:rFonts w:hint="eastAsia" w:ascii="仿宋_GB2312" w:eastAsia="仿宋_GB2312" w:cs="仿宋_GB2312"/>
          <w:sz w:val="32"/>
          <w:szCs w:val="32"/>
        </w:rPr>
        <w:t>，便于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申请人扫描获取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30"/>
        <w:textAlignment w:val="auto"/>
        <w:outlineLvl w:val="9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二是公开许可</w:t>
      </w:r>
      <w:r>
        <w:rPr>
          <w:rFonts w:hint="eastAsia" w:ascii="仿宋_GB2312" w:eastAsia="仿宋_GB2312" w:cs="仿宋_GB2312"/>
          <w:b/>
          <w:sz w:val="32"/>
          <w:szCs w:val="32"/>
          <w:lang w:eastAsia="zh-CN"/>
        </w:rPr>
        <w:t>要素</w:t>
      </w:r>
      <w:r>
        <w:rPr>
          <w:rFonts w:hint="eastAsia" w:ascii="仿宋_GB2312" w:eastAsia="仿宋_GB2312" w:cs="仿宋_GB2312"/>
          <w:b/>
          <w:sz w:val="32"/>
          <w:szCs w:val="32"/>
        </w:rPr>
        <w:t>。</w:t>
      </w:r>
      <w:r>
        <w:rPr>
          <w:rFonts w:hint="eastAsia" w:ascii="仿宋_GB2312" w:eastAsia="仿宋_GB2312" w:cs="仿宋_GB2312"/>
          <w:b w:val="0"/>
          <w:bCs/>
          <w:sz w:val="32"/>
          <w:szCs w:val="32"/>
          <w:lang w:eastAsia="zh-CN"/>
        </w:rPr>
        <w:t>我局认真</w:t>
      </w:r>
      <w:r>
        <w:rPr>
          <w:rFonts w:hint="eastAsia" w:ascii="仿宋_GB2312" w:eastAsia="仿宋_GB2312" w:cs="仿宋_GB2312"/>
          <w:sz w:val="32"/>
          <w:szCs w:val="32"/>
        </w:rPr>
        <w:t>细化每一项许可事项的材料清单、审查要点和材料范本，在广东政务服务网进行公开，便于群众参照填写，并进行材料完整性和规范性自查</w:t>
      </w:r>
      <w:r>
        <w:rPr>
          <w:rFonts w:hint="eastAsia" w:ascii="仿宋_GB2312" w:eastAsia="仿宋_GB2312" w:cs="仿宋_GB2312"/>
          <w:b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30"/>
        <w:textAlignment w:val="auto"/>
        <w:outlineLvl w:val="9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三是公开许可结果。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我局在</w:t>
      </w:r>
      <w:r>
        <w:rPr>
          <w:rFonts w:hint="eastAsia" w:ascii="仿宋_GB2312" w:eastAsia="仿宋_GB2312" w:cs="仿宋_GB2312"/>
          <w:sz w:val="32"/>
          <w:szCs w:val="32"/>
        </w:rPr>
        <w:t>做出行政许可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决定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</w:t>
      </w:r>
      <w:r>
        <w:rPr>
          <w:rFonts w:hint="eastAsia" w:ascii="仿宋_GB2312" w:eastAsia="仿宋_GB2312" w:cs="仿宋_GB2312"/>
          <w:sz w:val="32"/>
          <w:szCs w:val="32"/>
        </w:rPr>
        <w:t>工作日内在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广州市公共信用信息管理系统和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广东省行政执法信息公示平台</w:t>
      </w:r>
      <w:r>
        <w:rPr>
          <w:rFonts w:hint="eastAsia" w:ascii="仿宋_GB2312" w:eastAsia="仿宋_GB2312" w:cs="仿宋_GB2312"/>
          <w:sz w:val="32"/>
          <w:szCs w:val="32"/>
        </w:rPr>
        <w:t>进行相关信息公示。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outlineLvl w:val="9"/>
        <w:rPr>
          <w:rFonts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监督管理情况。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一是</w:t>
      </w:r>
      <w:r>
        <w:rPr>
          <w:rFonts w:hint="eastAsia" w:ascii="仿宋_GB2312" w:eastAsia="仿宋_GB2312" w:cs="仿宋_GB2312"/>
          <w:b/>
          <w:sz w:val="32"/>
          <w:szCs w:val="32"/>
          <w:lang w:eastAsia="zh-CN"/>
        </w:rPr>
        <w:t>通过年度报告方式加强对人力资源机构和劳务派遣单位资质核查</w:t>
      </w:r>
      <w:r>
        <w:rPr>
          <w:rFonts w:hint="eastAsia" w:ascii="仿宋_GB2312" w:eastAsia="仿宋_GB2312" w:cs="仿宋_GB2312"/>
          <w:b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取现场审查纸质材料、现场办理年检的方式完成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142家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经营性人力资源服务机构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年度报告工作；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130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家劳务派遣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单位通过网上办理方式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年年度报告</w:t>
      </w:r>
      <w:r>
        <w:rPr>
          <w:rFonts w:hint="eastAsia" w:ascii="仿宋_GB2312" w:hAnsi="Calibri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/>
          <w:b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Calibri" w:eastAsia="仿宋_GB2312"/>
          <w:b/>
          <w:sz w:val="32"/>
          <w:szCs w:val="32"/>
          <w:highlight w:val="none"/>
        </w:rPr>
        <w:t>是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通过</w:t>
      </w:r>
      <w:r>
        <w:rPr>
          <w:rFonts w:hint="eastAsia" w:ascii="仿宋_GB2312" w:eastAsia="仿宋_GB2312"/>
          <w:b/>
          <w:sz w:val="32"/>
          <w:szCs w:val="32"/>
          <w:highlight w:val="none"/>
          <w:lang w:eastAsia="zh-CN"/>
        </w:rPr>
        <w:t>部门联合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巡查检查</w:t>
      </w:r>
      <w:r>
        <w:rPr>
          <w:rFonts w:hint="eastAsia" w:ascii="仿宋_GB2312" w:eastAsia="仿宋_GB2312"/>
          <w:b/>
          <w:sz w:val="32"/>
          <w:szCs w:val="32"/>
          <w:highlight w:val="none"/>
          <w:lang w:eastAsia="zh-CN"/>
        </w:rPr>
        <w:t>方式加强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日常监管。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对区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所民办职业培训机构的办学条件、组织架构、管理制度、安全生产等方面组织学校自查、开展全面普查和现场督查，对检查发现的问题限期整改。对区内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家人力资源服务机构分季度分批进行上门检查，宣传法律法规政策，指导机构依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法规范经营，同时督促机构落实疫情防控措施，稳步推进区内人力资源行业的复工复产工作。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（四）实施效果情况。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outlineLvl w:val="9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eastAsia="仿宋_GB2312" w:cs="仿宋_GB2312"/>
          <w:sz w:val="32"/>
          <w:szCs w:val="32"/>
        </w:rPr>
        <w:t>通过制定并公开统一的办事指南和材料范本，严格执行审批标准，加强许可后的监督管理，有效规范了我区人力资源服务机构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eastAsia="仿宋_GB2312"/>
          <w:sz w:val="32"/>
          <w:szCs w:val="32"/>
        </w:rPr>
        <w:t>民办职业培训学校</w:t>
      </w:r>
      <w:r>
        <w:rPr>
          <w:rFonts w:hint="eastAsia" w:ascii="仿宋_GB2312" w:eastAsia="仿宋_GB2312" w:cs="仿宋_GB2312"/>
          <w:sz w:val="32"/>
          <w:szCs w:val="32"/>
        </w:rPr>
        <w:t>的经营活动，整顿了我区人力资源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和</w:t>
      </w:r>
      <w:r>
        <w:rPr>
          <w:rFonts w:ascii="仿宋_GB2312" w:eastAsia="仿宋_GB2312" w:cs="仿宋_GB2312"/>
          <w:sz w:val="32"/>
          <w:szCs w:val="32"/>
        </w:rPr>
        <w:t>职业培训</w:t>
      </w:r>
      <w:r>
        <w:rPr>
          <w:rFonts w:hint="eastAsia" w:ascii="仿宋_GB2312" w:eastAsia="仿宋_GB2312" w:cs="仿宋_GB2312"/>
          <w:sz w:val="32"/>
          <w:szCs w:val="32"/>
        </w:rPr>
        <w:t>市场秩序，规范了企业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经营劳务派遣业务和实施</w:t>
      </w:r>
      <w:r>
        <w:rPr>
          <w:rFonts w:hint="eastAsia" w:ascii="仿宋_GB2312" w:eastAsia="仿宋_GB2312" w:cs="仿宋_GB2312"/>
          <w:sz w:val="32"/>
          <w:szCs w:val="32"/>
        </w:rPr>
        <w:t>特殊工时制，保障了劳动者休息休假权益，维护了劳动者的合法权益。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outlineLvl w:val="9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eastAsia="仿宋_GB2312" w:cs="仿宋_GB2312"/>
          <w:sz w:val="32"/>
          <w:szCs w:val="32"/>
        </w:rPr>
        <w:t>通过优化和规范审批流程，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4项行</w:t>
      </w:r>
      <w:r>
        <w:rPr>
          <w:rFonts w:hint="eastAsia" w:eastAsia="仿宋_GB2312"/>
          <w:sz w:val="32"/>
          <w:szCs w:val="32"/>
        </w:rPr>
        <w:t>政许可事项</w:t>
      </w:r>
      <w:r>
        <w:rPr>
          <w:rFonts w:hint="eastAsia" w:eastAsia="仿宋_GB2312"/>
          <w:sz w:val="32"/>
          <w:szCs w:val="32"/>
          <w:lang w:eastAsia="zh-CN"/>
        </w:rPr>
        <w:t>均</w:t>
      </w:r>
      <w:r>
        <w:rPr>
          <w:rFonts w:hint="eastAsia" w:eastAsia="仿宋_GB2312"/>
          <w:sz w:val="32"/>
          <w:szCs w:val="32"/>
        </w:rPr>
        <w:t>实现网上受理、网上全流程办结，</w:t>
      </w:r>
      <w:r>
        <w:rPr>
          <w:rFonts w:hint="eastAsia" w:eastAsia="仿宋_GB2312"/>
          <w:sz w:val="32"/>
          <w:szCs w:val="32"/>
          <w:lang w:val="en-US" w:eastAsia="zh-CN"/>
        </w:rPr>
        <w:t>并结合双向快递的方式，实现“不见面”审批，“零跑腿”取证，</w:t>
      </w:r>
      <w:r>
        <w:rPr>
          <w:rFonts w:hint="eastAsia" w:ascii="仿宋_GB2312" w:eastAsia="仿宋_GB2312" w:cs="仿宋_GB2312"/>
          <w:sz w:val="32"/>
          <w:szCs w:val="32"/>
        </w:rPr>
        <w:t>方便了办事群众，提高了审批效率，获得了群众的高度认可。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（五）创新方式情况。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3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强化网上预审提高审批效能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。</w:t>
      </w:r>
      <w:r>
        <w:rPr>
          <w:rFonts w:hint="eastAsia" w:eastAsia="仿宋_GB2312"/>
          <w:sz w:val="32"/>
          <w:szCs w:val="32"/>
          <w:lang w:val="en-US" w:eastAsia="zh-CN"/>
        </w:rPr>
        <w:t>在实现行政许可全流程网办的基础上，我局通过预审一次性告知申请人申请材料缺漏等不符合要求的情况，指导申请人按规定修改材料，避免申请人反复寄递材料，最大限度节约了申请人的时间和经济成本。预审通过后直接进入审批流程，大大提高了审批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3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是通过部门间信息共享精简材料。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随着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电子证照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的推广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局4项许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可事项均通过电子证照调用、商事信息平台核查等方式主动核查申请人的商事信息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和法人、股东信息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，不再收取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相关证照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（六）推行标准化情况。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我局制定了统一规范的行政许可事项《办理指南》，明确了行政许可事项名称、实施依据、申请条件、申请材料、办理流程、办理时限及申请的办法、格式文本等事项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实现了省市区申请条件统一、申请材料统一、办理流程统一</w:t>
      </w:r>
      <w:r>
        <w:rPr>
          <w:rFonts w:hint="eastAsia" w:ascii="仿宋_GB2312" w:eastAsia="仿宋_GB2312" w:cs="仿宋_GB2312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同时，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全面推行“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五制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四公开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三亮明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”的服务制度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并根据上级政策调整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及时更新办事指南、须知、最新政策等宣传资料，同步更新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省政务服务网和区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门户网站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的办事指南。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30"/>
        <w:textAlignment w:val="auto"/>
        <w:outlineLvl w:val="9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存在问题和困难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广东省人力资源服务系统平台设置与实际业务工作存在差异，相关功能模块</w:t>
      </w:r>
      <w:r>
        <w:rPr>
          <w:rFonts w:hint="eastAsia" w:asci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有待进一步完善。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textAlignment w:val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三、下一步工作措施及有关建议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</w:rPr>
        <w:t>我局将积极向上级反馈系统问题，不断推动完善业务系统功能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，同时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继续严格按照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法律法规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规定的条件开展行政许可审批，不断优化行政许可审批流程，切实服务好办事群众，提升群众满意度。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</w:rPr>
        <w:br w:type="textWrapping"/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 xml:space="preserve">    </w:t>
      </w:r>
      <w:r>
        <w:rPr>
          <w:rFonts w:hint="eastAsia" w:eastAsia="仿宋_GB2312"/>
          <w:sz w:val="32"/>
          <w:szCs w:val="32"/>
          <w:highlight w:val="none"/>
        </w:rPr>
        <w:t xml:space="preserve">                  广州市海珠区人力资源和社会保障局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highlight w:val="none"/>
        </w:rPr>
      </w:pPr>
      <w:r>
        <w:rPr>
          <w:rFonts w:eastAsia="仿宋_GB2312"/>
          <w:sz w:val="32"/>
          <w:szCs w:val="32"/>
          <w:highlight w:val="none"/>
        </w:rPr>
        <w:t xml:space="preserve"> </w:t>
      </w:r>
      <w:r>
        <w:rPr>
          <w:rFonts w:hint="eastAsia" w:eastAsia="仿宋_GB2312"/>
          <w:sz w:val="32"/>
          <w:szCs w:val="32"/>
          <w:highlight w:val="none"/>
        </w:rPr>
        <w:t xml:space="preserve">                         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highlight w:val="none"/>
        </w:rPr>
        <w:t xml:space="preserve"> </w:t>
      </w:r>
      <w:r>
        <w:rPr>
          <w:rFonts w:eastAsia="仿宋_GB2312"/>
          <w:sz w:val="32"/>
          <w:szCs w:val="32"/>
          <w:highlight w:val="none"/>
        </w:rPr>
        <w:t>20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eastAsia="仿宋_GB2312" w:cs="仿宋_GB2312"/>
          <w:sz w:val="32"/>
          <w:szCs w:val="32"/>
          <w:highlight w:val="none"/>
        </w:rPr>
        <w:t>年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eastAsia="仿宋_GB2312" w:cs="仿宋_GB2312"/>
          <w:sz w:val="32"/>
          <w:szCs w:val="32"/>
          <w:highlight w:val="none"/>
        </w:rPr>
        <w:t>月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日</w:t>
      </w:r>
    </w:p>
    <w:sectPr>
      <w:footerReference r:id="rId3" w:type="default"/>
      <w:pgSz w:w="11906" w:h="16838"/>
      <w:pgMar w:top="2098" w:right="1474" w:bottom="1984" w:left="1587" w:header="851" w:footer="170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210" w:leftChars="10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210" w:leftChars="10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BF671"/>
    <w:multiLevelType w:val="singleLevel"/>
    <w:tmpl w:val="58ABF67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5285F"/>
    <w:rsid w:val="00331D89"/>
    <w:rsid w:val="038A11C7"/>
    <w:rsid w:val="05197327"/>
    <w:rsid w:val="058A511F"/>
    <w:rsid w:val="068654E5"/>
    <w:rsid w:val="07884E8A"/>
    <w:rsid w:val="078F2713"/>
    <w:rsid w:val="08E532E0"/>
    <w:rsid w:val="09474614"/>
    <w:rsid w:val="0A30708C"/>
    <w:rsid w:val="0B241DA0"/>
    <w:rsid w:val="0B7B0695"/>
    <w:rsid w:val="0CC36C7B"/>
    <w:rsid w:val="0D13394E"/>
    <w:rsid w:val="0DB31296"/>
    <w:rsid w:val="0E3F0E7A"/>
    <w:rsid w:val="0F71152C"/>
    <w:rsid w:val="0FAC19A3"/>
    <w:rsid w:val="10B609BE"/>
    <w:rsid w:val="10C75E79"/>
    <w:rsid w:val="14263264"/>
    <w:rsid w:val="14F74B4C"/>
    <w:rsid w:val="16B71172"/>
    <w:rsid w:val="175E5899"/>
    <w:rsid w:val="17FD76A1"/>
    <w:rsid w:val="1812701D"/>
    <w:rsid w:val="18772976"/>
    <w:rsid w:val="1AE674F9"/>
    <w:rsid w:val="1B0F6724"/>
    <w:rsid w:val="1EBF1742"/>
    <w:rsid w:val="1F43442D"/>
    <w:rsid w:val="1FDC08DD"/>
    <w:rsid w:val="201B71AF"/>
    <w:rsid w:val="207B1CC8"/>
    <w:rsid w:val="21765105"/>
    <w:rsid w:val="24B95CDA"/>
    <w:rsid w:val="259A7FFB"/>
    <w:rsid w:val="26632EFE"/>
    <w:rsid w:val="28A57B69"/>
    <w:rsid w:val="29785F0A"/>
    <w:rsid w:val="2BA70C43"/>
    <w:rsid w:val="2BC53D90"/>
    <w:rsid w:val="2C56621B"/>
    <w:rsid w:val="2D9C012A"/>
    <w:rsid w:val="2E2350FE"/>
    <w:rsid w:val="2F374860"/>
    <w:rsid w:val="33F9500F"/>
    <w:rsid w:val="34314433"/>
    <w:rsid w:val="35731D18"/>
    <w:rsid w:val="35B44E82"/>
    <w:rsid w:val="392E6BEC"/>
    <w:rsid w:val="3FD7334F"/>
    <w:rsid w:val="3FE13E3C"/>
    <w:rsid w:val="3FE2736B"/>
    <w:rsid w:val="412C6CF1"/>
    <w:rsid w:val="41952B6D"/>
    <w:rsid w:val="434F138B"/>
    <w:rsid w:val="437B59D8"/>
    <w:rsid w:val="44AC2CE7"/>
    <w:rsid w:val="45AE509A"/>
    <w:rsid w:val="46DC7A7A"/>
    <w:rsid w:val="49CD1987"/>
    <w:rsid w:val="4A1F07EC"/>
    <w:rsid w:val="4B6D1A6A"/>
    <w:rsid w:val="4C447A5A"/>
    <w:rsid w:val="4C8872EC"/>
    <w:rsid w:val="4D776376"/>
    <w:rsid w:val="4ED6620A"/>
    <w:rsid w:val="51856FF2"/>
    <w:rsid w:val="533F08D4"/>
    <w:rsid w:val="54A24BEC"/>
    <w:rsid w:val="57E50CD4"/>
    <w:rsid w:val="58D42689"/>
    <w:rsid w:val="59B925CB"/>
    <w:rsid w:val="59F93F2C"/>
    <w:rsid w:val="5ABE40D3"/>
    <w:rsid w:val="5BBA1378"/>
    <w:rsid w:val="5C626945"/>
    <w:rsid w:val="5C8E09C2"/>
    <w:rsid w:val="5D647126"/>
    <w:rsid w:val="5DAF01CB"/>
    <w:rsid w:val="5E991D62"/>
    <w:rsid w:val="5ED34049"/>
    <w:rsid w:val="60D92324"/>
    <w:rsid w:val="64580A7B"/>
    <w:rsid w:val="65CD370B"/>
    <w:rsid w:val="6BA33747"/>
    <w:rsid w:val="6EDD179A"/>
    <w:rsid w:val="6F5E29E3"/>
    <w:rsid w:val="6F685998"/>
    <w:rsid w:val="6F6C2FCF"/>
    <w:rsid w:val="6FA3408D"/>
    <w:rsid w:val="72576F5D"/>
    <w:rsid w:val="72D0733D"/>
    <w:rsid w:val="76230E1A"/>
    <w:rsid w:val="76514F31"/>
    <w:rsid w:val="787D33E4"/>
    <w:rsid w:val="7AB50CB3"/>
    <w:rsid w:val="7B83354F"/>
    <w:rsid w:val="7D3A295E"/>
    <w:rsid w:val="7DFA35EC"/>
    <w:rsid w:val="7E5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PMingLiU" w:hAnsi="Times New Roman" w:eastAsia="宋体" w:cs="PMingLiU"/>
      <w:color w:val="000000"/>
      <w:sz w:val="24"/>
      <w:szCs w:val="24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GZ</dc:creator>
  <cp:lastModifiedBy>陈丽燕</cp:lastModifiedBy>
  <cp:lastPrinted>2022-05-20T01:45:00Z</cp:lastPrinted>
  <dcterms:modified xsi:type="dcterms:W3CDTF">2022-05-23T07:43:19Z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88CF30168D334E3F8420F00C408EE4F6</vt:lpwstr>
  </property>
</Properties>
</file>