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jc w:val="left"/>
        <w:textAlignment w:val="center"/>
        <w:rPr>
          <w:rFonts w:hint="eastAsia" w:ascii="方正小标宋简体" w:hAnsi="Times New Roman" w:eastAsia="方正小标宋简体" w:cs="方正小标宋简体"/>
          <w:snapToGrid w:val="0"/>
          <w:color w:val="000000"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napToGrid w:val="0"/>
          <w:color w:val="000000"/>
          <w:sz w:val="32"/>
          <w:szCs w:val="32"/>
          <w:lang w:val="en-US" w:eastAsia="zh-CN"/>
        </w:rPr>
        <w:t>附件1</w:t>
      </w:r>
    </w:p>
    <w:p>
      <w:pPr>
        <w:widowControl/>
        <w:jc w:val="center"/>
        <w:textAlignment w:val="center"/>
        <w:rPr>
          <w:rFonts w:hint="eastAsia" w:ascii="宋体" w:hAnsi="宋体" w:eastAsia="宋体" w:cs="宋体"/>
          <w:snapToGrid w:val="0"/>
          <w:color w:val="000000"/>
          <w:sz w:val="44"/>
          <w:szCs w:val="44"/>
        </w:rPr>
      </w:pPr>
    </w:p>
    <w:p>
      <w:pPr>
        <w:widowControl/>
        <w:jc w:val="center"/>
        <w:textAlignment w:val="center"/>
        <w:rPr>
          <w:rFonts w:hint="eastAsia" w:ascii="宋体" w:hAnsi="宋体" w:eastAsia="宋体" w:cs="宋体"/>
          <w:snapToGrid w:val="0"/>
          <w:color w:val="000000"/>
          <w:sz w:val="44"/>
          <w:szCs w:val="44"/>
        </w:rPr>
      </w:pPr>
      <w:r>
        <w:rPr>
          <w:rFonts w:hint="eastAsia" w:ascii="方正小标宋简体" w:hAnsi="Times New Roman" w:eastAsia="方正小标宋简体" w:cs="方正小标宋简体"/>
          <w:snapToGrid w:val="0"/>
          <w:color w:val="000000"/>
          <w:sz w:val="44"/>
          <w:szCs w:val="44"/>
        </w:rPr>
        <w:t>本次检验项目</w:t>
      </w:r>
    </w:p>
    <w:tbl>
      <w:tblPr>
        <w:tblStyle w:val="9"/>
        <w:tblW w:w="13447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9"/>
        <w:gridCol w:w="1188"/>
        <w:gridCol w:w="1150"/>
        <w:gridCol w:w="1338"/>
        <w:gridCol w:w="1212"/>
        <w:gridCol w:w="5150"/>
        <w:gridCol w:w="281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5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序号</w:t>
            </w:r>
          </w:p>
        </w:tc>
        <w:tc>
          <w:tcPr>
            <w:tcW w:w="11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食品大类</w:t>
            </w:r>
          </w:p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（一级）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食品亚类（二级）</w:t>
            </w:r>
          </w:p>
        </w:tc>
        <w:tc>
          <w:tcPr>
            <w:tcW w:w="13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食品品种（三级）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食品细类（四级）</w:t>
            </w:r>
          </w:p>
        </w:tc>
        <w:tc>
          <w:tcPr>
            <w:tcW w:w="5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抽检依据</w:t>
            </w:r>
          </w:p>
        </w:tc>
        <w:tc>
          <w:tcPr>
            <w:tcW w:w="2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检验项目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</w:trPr>
        <w:tc>
          <w:tcPr>
            <w:tcW w:w="599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1188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餐饮具</w:t>
            </w:r>
          </w:p>
        </w:tc>
        <w:tc>
          <w:tcPr>
            <w:tcW w:w="133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复用餐饮具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复用餐饮具</w:t>
            </w:r>
          </w:p>
        </w:tc>
        <w:tc>
          <w:tcPr>
            <w:tcW w:w="5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GB 14934-2016中华人民共和国国家标准食（饮）具消毒卫生标准</w:t>
            </w:r>
          </w:p>
        </w:tc>
        <w:tc>
          <w:tcPr>
            <w:tcW w:w="2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大肠菌群50cm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²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</w:trPr>
        <w:tc>
          <w:tcPr>
            <w:tcW w:w="59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188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50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米面及其制品(自制)</w:t>
            </w:r>
          </w:p>
        </w:tc>
        <w:tc>
          <w:tcPr>
            <w:tcW w:w="1338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小麦粉制品(自制)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馒头花卷(自制)</w:t>
            </w:r>
          </w:p>
        </w:tc>
        <w:tc>
          <w:tcPr>
            <w:tcW w:w="5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 2760-2014《食品安全国家标准 食品添加剂使用标准》</w:t>
            </w:r>
          </w:p>
        </w:tc>
        <w:tc>
          <w:tcPr>
            <w:tcW w:w="2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苯甲酸及其钠盐(以苯甲酸计)、山梨酸及其钾盐(以山梨酸计)、糖精钠(以糖精计)、铝的残留量(干样品,以Al计)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</w:trPr>
        <w:tc>
          <w:tcPr>
            <w:tcW w:w="59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188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50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38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包子(自制)</w:t>
            </w:r>
          </w:p>
        </w:tc>
        <w:tc>
          <w:tcPr>
            <w:tcW w:w="5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 2760-2014《食品安全国家标准 食品添加剂使用标准》</w:t>
            </w:r>
          </w:p>
        </w:tc>
        <w:tc>
          <w:tcPr>
            <w:tcW w:w="2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铝的残留量(干样品,以Al计)、山梨酸及其钾盐(以山梨酸计)、糖精钠(以糖精计)、苯甲酸及其钠盐(以苯甲酸计)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</w:trPr>
        <w:tc>
          <w:tcPr>
            <w:tcW w:w="5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118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饼干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饼干</w:t>
            </w:r>
          </w:p>
        </w:tc>
        <w:tc>
          <w:tcPr>
            <w:tcW w:w="133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饼干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饼干</w:t>
            </w:r>
          </w:p>
        </w:tc>
        <w:tc>
          <w:tcPr>
            <w:tcW w:w="5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 7100-2015《食品安全国家标准 饼干》、GB 2760-2014《食品安全国家标准 食品添加剂使用标准》</w:t>
            </w:r>
          </w:p>
        </w:tc>
        <w:tc>
          <w:tcPr>
            <w:tcW w:w="2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酸价（以脂肪计）（KOH）、过氧化值（以脂肪计）、铝的残留量（干样品，以Al计）、脱氢乙酸及其钠盐（以脱氢乙酸计）、菌落总数、霉菌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</w:trPr>
        <w:tc>
          <w:tcPr>
            <w:tcW w:w="599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188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调味品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食醋</w:t>
            </w:r>
          </w:p>
        </w:tc>
        <w:tc>
          <w:tcPr>
            <w:tcW w:w="133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食醋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食醋</w:t>
            </w:r>
          </w:p>
        </w:tc>
        <w:tc>
          <w:tcPr>
            <w:tcW w:w="5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18187-2000《酿造食醋》、GB 2760-2014《食品安全国家标准 食品添加剂使用标准》、GB 2719-2018《食品安全国家标准 食醋》</w:t>
            </w:r>
          </w:p>
        </w:tc>
        <w:tc>
          <w:tcPr>
            <w:tcW w:w="2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酸（以乙酸计）、不挥发酸（以乳酸计）、苯甲酸及其钠盐（以苯甲酸计）、山梨酸及其钾盐（以山梨酸计）、脱氢乙酸及其钠盐（以脱氢乙酸计）、防腐剂混合使用时各自用量占其最大使用量的比例之和、糖精钠（以糖精计）、菌落总数、三氯蔗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</w:trPr>
        <w:tc>
          <w:tcPr>
            <w:tcW w:w="599" w:type="dxa"/>
            <w:vMerge w:val="continue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18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食盐</w:t>
            </w:r>
          </w:p>
        </w:tc>
        <w:tc>
          <w:tcPr>
            <w:tcW w:w="13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食用盐</w:t>
            </w:r>
          </w:p>
        </w:tc>
        <w:tc>
          <w:tcPr>
            <w:tcW w:w="12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普通食用盐</w:t>
            </w:r>
          </w:p>
        </w:tc>
        <w:tc>
          <w:tcPr>
            <w:tcW w:w="5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 2721-2015《食品安全国家标准 食用盐》、GB 26878-2011《食品安全国家标准 食用盐碘含量》、GB 2762-2017《食品安全国家标准 食品中污染物限量》、产品明示标准和质量要求</w:t>
            </w:r>
          </w:p>
        </w:tc>
        <w:tc>
          <w:tcPr>
            <w:tcW w:w="2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氯化钠(以干基计)、钡(以Ba计)、碘(以I计)、铅(以Pb计)、总砷(以As计)、镉(以Cd计)、总汞(以Hg计)、亚铁氰化钾/亚铁氰化钠(以亚铁氰根计)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</w:trPr>
        <w:tc>
          <w:tcPr>
            <w:tcW w:w="5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1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豆制品</w:t>
            </w:r>
          </w:p>
        </w:tc>
        <w:tc>
          <w:tcPr>
            <w:tcW w:w="1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豆制品</w:t>
            </w:r>
          </w:p>
        </w:tc>
        <w:tc>
          <w:tcPr>
            <w:tcW w:w="13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发酵性豆制品</w:t>
            </w:r>
          </w:p>
        </w:tc>
        <w:tc>
          <w:tcPr>
            <w:tcW w:w="12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腐乳、豆豉、纳豆等</w:t>
            </w:r>
          </w:p>
        </w:tc>
        <w:tc>
          <w:tcPr>
            <w:tcW w:w="5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 2712-2014《食品安全国家标准 豆制品》、GB 2760-2014《食品安全国家标准 食品添加剂使用标准》、GB 2762-2017《食品安全国家标准 食品中污染物限量》、GB 2761-2017《食品安全国家标准 食品中真菌毒素限量》</w:t>
            </w:r>
          </w:p>
        </w:tc>
        <w:tc>
          <w:tcPr>
            <w:tcW w:w="2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肠菌群、铝的残留量(干样品,以Al计)、甜蜜素(以环己基氨基磺酸计)、糖精钠(以糖精计)、脱氢乙酸及其钠盐(以脱氢乙酸计)、苯甲酸及其钠盐(以苯甲酸计)、山梨酸及其钾盐(以山梨酸计)、铅(以Pb计)、黄曲霉毒素B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</w:trPr>
        <w:tc>
          <w:tcPr>
            <w:tcW w:w="599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bookmarkStart w:id="0" w:name="_GoBack"/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bookmarkEnd w:id="0"/>
          </w:p>
        </w:tc>
        <w:tc>
          <w:tcPr>
            <w:tcW w:w="1188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1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大米</w:t>
            </w:r>
          </w:p>
        </w:tc>
        <w:tc>
          <w:tcPr>
            <w:tcW w:w="13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大米</w:t>
            </w:r>
          </w:p>
        </w:tc>
        <w:tc>
          <w:tcPr>
            <w:tcW w:w="12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大米</w:t>
            </w:r>
          </w:p>
        </w:tc>
        <w:tc>
          <w:tcPr>
            <w:tcW w:w="5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 2761-2017《食品安全国家标准 食品中真菌毒素限量》、GB 2762-2017《食品安全国家标准 食品中污染物限量》</w:t>
            </w:r>
          </w:p>
        </w:tc>
        <w:tc>
          <w:tcPr>
            <w:tcW w:w="2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镉（以Cd计）、铅（以Pb计）、无机砷（以As计）、苯并[a]芘、黄曲霉毒素B1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</w:trPr>
        <w:tc>
          <w:tcPr>
            <w:tcW w:w="59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18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小麦粉</w:t>
            </w:r>
          </w:p>
        </w:tc>
        <w:tc>
          <w:tcPr>
            <w:tcW w:w="13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小麦粉</w:t>
            </w:r>
          </w:p>
        </w:tc>
        <w:tc>
          <w:tcPr>
            <w:tcW w:w="12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小麦粉</w:t>
            </w:r>
          </w:p>
        </w:tc>
        <w:tc>
          <w:tcPr>
            <w:tcW w:w="5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 2760-2014《食品安全国家标准 食品添加剂使用标准》、GB 2761-2017《食品安全国家标准 食品中真菌毒素限量》、卫生部公告[2011]第4号 卫生部等7部门《关于撤销食品添加剂过氧化苯甲酰、过氧化钙的公告》</w:t>
            </w:r>
          </w:p>
        </w:tc>
        <w:tc>
          <w:tcPr>
            <w:tcW w:w="2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黄曲霉毒素B1、脱氧雪腐镰刀菌烯醇、过氧化苯甲酰、偶氮甲酰胺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</w:trPr>
        <w:tc>
          <w:tcPr>
            <w:tcW w:w="59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18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挂面</w:t>
            </w:r>
          </w:p>
        </w:tc>
        <w:tc>
          <w:tcPr>
            <w:tcW w:w="13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挂面</w:t>
            </w:r>
          </w:p>
        </w:tc>
        <w:tc>
          <w:tcPr>
            <w:tcW w:w="12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挂面</w:t>
            </w:r>
          </w:p>
        </w:tc>
        <w:tc>
          <w:tcPr>
            <w:tcW w:w="5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 2762-2017《食品安全国家标准 食品中污染物限量》、GB 2760-2014《食品安全国家标准 食品添加剂使用标准》</w:t>
            </w:r>
          </w:p>
        </w:tc>
        <w:tc>
          <w:tcPr>
            <w:tcW w:w="2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铅(以Pb计)、镉(以Cd计)、黄曲霉毒素B</w:t>
            </w:r>
            <w:r>
              <w:rPr>
                <w:rStyle w:val="32"/>
                <w:rFonts w:eastAsia="宋体"/>
                <w:lang w:val="en-US" w:eastAsia="zh-CN" w:bidi="ar"/>
              </w:rPr>
              <w:t>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、无机砷(以As计)、苯并[a]芘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</w:trPr>
        <w:tc>
          <w:tcPr>
            <w:tcW w:w="5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1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肉制品</w:t>
            </w:r>
          </w:p>
        </w:tc>
        <w:tc>
          <w:tcPr>
            <w:tcW w:w="1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预制肉制品</w:t>
            </w:r>
          </w:p>
        </w:tc>
        <w:tc>
          <w:tcPr>
            <w:tcW w:w="13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腌腊肉制品</w:t>
            </w:r>
          </w:p>
        </w:tc>
        <w:tc>
          <w:tcPr>
            <w:tcW w:w="12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腌腊肉制品</w:t>
            </w:r>
          </w:p>
        </w:tc>
        <w:tc>
          <w:tcPr>
            <w:tcW w:w="5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 2730-2015《食品安全国家标准 腌腊肉制品》、GB 2762-2017《食品安全国家标准 食品中污染物限量》、GB 2760-2014《食品安全国家标准 食品添加剂使用标准》、整顿办函[2011]1号《食品中可能违法添加的非食用物质和易滥用的食品添加剂品种名单(第五批)》</w:t>
            </w:r>
          </w:p>
        </w:tc>
        <w:tc>
          <w:tcPr>
            <w:tcW w:w="2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过氧化值(以脂肪计)、铅(以Pb计)、总砷(以As计)、亚硝酸盐(以亚硝酸钠计)、苯甲酸及其钠盐(以苯甲酸计)、山梨酸及其钾盐(以山梨酸计)、胭脂红、氯霉素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</w:trPr>
        <w:tc>
          <w:tcPr>
            <w:tcW w:w="5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1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乳制品</w:t>
            </w:r>
          </w:p>
        </w:tc>
        <w:tc>
          <w:tcPr>
            <w:tcW w:w="1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乳制品</w:t>
            </w:r>
          </w:p>
        </w:tc>
        <w:tc>
          <w:tcPr>
            <w:tcW w:w="13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液体乳</w:t>
            </w:r>
          </w:p>
        </w:tc>
        <w:tc>
          <w:tcPr>
            <w:tcW w:w="12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灭菌乳</w:t>
            </w:r>
          </w:p>
        </w:tc>
        <w:tc>
          <w:tcPr>
            <w:tcW w:w="5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 25190-2010《食品安全国家标准 灭菌乳》、卫生部、工业和信息化部、农业部、工商总局、质检总局公告2011年第10号《关于三聚氰胺在食品中的限量值的公告》</w:t>
            </w:r>
          </w:p>
        </w:tc>
        <w:tc>
          <w:tcPr>
            <w:tcW w:w="2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蛋白质、非脂乳固体、酸度、脂肪、三聚氰胺、商业无菌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</w:trPr>
        <w:tc>
          <w:tcPr>
            <w:tcW w:w="599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188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鲜蛋</w:t>
            </w:r>
          </w:p>
        </w:tc>
        <w:tc>
          <w:tcPr>
            <w:tcW w:w="13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鲜蛋</w:t>
            </w:r>
          </w:p>
        </w:tc>
        <w:tc>
          <w:tcPr>
            <w:tcW w:w="12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鸡蛋</w:t>
            </w:r>
          </w:p>
        </w:tc>
        <w:tc>
          <w:tcPr>
            <w:tcW w:w="5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 2763-2021《食品安全国家标准 食品中农药最大残留限量》、GB 31650-2019《食品安全国家标准 食品中兽药最大残留限量》、农业农村部公告 第250号《食品动物中禁止使用的药品及其他化合物清单》</w:t>
            </w:r>
          </w:p>
        </w:tc>
        <w:tc>
          <w:tcPr>
            <w:tcW w:w="2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氯霉素、甲硝唑、地美硝唑、氟虫腈、呋喃唑酮代谢物、氟虫腈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</w:trPr>
        <w:tc>
          <w:tcPr>
            <w:tcW w:w="599" w:type="dxa"/>
            <w:vMerge w:val="continue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18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5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蔬菜</w:t>
            </w:r>
          </w:p>
        </w:tc>
        <w:tc>
          <w:tcPr>
            <w:tcW w:w="1338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叶菜类蔬菜</w:t>
            </w:r>
          </w:p>
        </w:tc>
        <w:tc>
          <w:tcPr>
            <w:tcW w:w="12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普通白菜</w:t>
            </w:r>
          </w:p>
        </w:tc>
        <w:tc>
          <w:tcPr>
            <w:tcW w:w="5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 2763-2021《食品安全国家标准 食品中农药最大残留限量》</w:t>
            </w:r>
          </w:p>
        </w:tc>
        <w:tc>
          <w:tcPr>
            <w:tcW w:w="2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啶虫脒、毒死蜱、氧乐果、氟虫腈、吡虫啉、甲拌磷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</w:trPr>
        <w:tc>
          <w:tcPr>
            <w:tcW w:w="599" w:type="dxa"/>
            <w:vMerge w:val="continue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18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3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油麦菜</w:t>
            </w:r>
          </w:p>
        </w:tc>
        <w:tc>
          <w:tcPr>
            <w:tcW w:w="5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 2763-2021《食品安全国家标准 食品中农药最大残留限量》</w:t>
            </w:r>
          </w:p>
        </w:tc>
        <w:tc>
          <w:tcPr>
            <w:tcW w:w="2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毒死蜱、氟虫腈、克百威、氧乐果、甲拌磷、啶虫脒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</w:trPr>
        <w:tc>
          <w:tcPr>
            <w:tcW w:w="599" w:type="dxa"/>
            <w:vMerge w:val="continue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18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芸薹属类蔬菜</w:t>
            </w:r>
          </w:p>
        </w:tc>
        <w:tc>
          <w:tcPr>
            <w:tcW w:w="12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菜薹</w:t>
            </w:r>
          </w:p>
        </w:tc>
        <w:tc>
          <w:tcPr>
            <w:tcW w:w="5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 2763-2021《食品安全国家标准 食品中农药最大残留限量》、GB 2762-2017《食品安全国家标准 食品中污染物限量》</w:t>
            </w:r>
          </w:p>
        </w:tc>
        <w:tc>
          <w:tcPr>
            <w:tcW w:w="2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毒死蜱、啶虫脒、镉(以Cd计)、氟虫腈、吡虫啉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</w:trPr>
        <w:tc>
          <w:tcPr>
            <w:tcW w:w="599" w:type="dxa"/>
            <w:vMerge w:val="continue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18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根茎类和薯芋类蔬菜</w:t>
            </w:r>
          </w:p>
        </w:tc>
        <w:tc>
          <w:tcPr>
            <w:tcW w:w="12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胡萝卜</w:t>
            </w:r>
          </w:p>
        </w:tc>
        <w:tc>
          <w:tcPr>
            <w:tcW w:w="5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 2763-2021《食品安全国家标准 食品中农药最大残留限量》、GB 2762-2017《食品安全国家标准 食品中污染物限量》</w:t>
            </w:r>
          </w:p>
        </w:tc>
        <w:tc>
          <w:tcPr>
            <w:tcW w:w="2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甲拌磷、氟虫腈、氯氟氰菊酯和高效氯氟氰菊酯、毒死蜱、铅(以Pb计)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</w:trPr>
        <w:tc>
          <w:tcPr>
            <w:tcW w:w="599" w:type="dxa"/>
            <w:vMerge w:val="continue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18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茄果类蔬菜</w:t>
            </w:r>
          </w:p>
        </w:tc>
        <w:tc>
          <w:tcPr>
            <w:tcW w:w="12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茄子</w:t>
            </w:r>
          </w:p>
        </w:tc>
        <w:tc>
          <w:tcPr>
            <w:tcW w:w="5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 2763-2021《食品安全国家标准 食品中农药最大残留限量》、GB 2762-2017《食品安全国家标准 食品中污染物限量》</w:t>
            </w:r>
          </w:p>
        </w:tc>
        <w:tc>
          <w:tcPr>
            <w:tcW w:w="2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氧乐果、水胺硫磷、噻虫嗪、噻虫胺、克百威、甲拌磷、镉(以Cd计)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</w:trPr>
        <w:tc>
          <w:tcPr>
            <w:tcW w:w="599" w:type="dxa"/>
            <w:vMerge w:val="continue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18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畜禽肉及副产品</w:t>
            </w:r>
          </w:p>
        </w:tc>
        <w:tc>
          <w:tcPr>
            <w:tcW w:w="13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禽肉</w:t>
            </w:r>
          </w:p>
        </w:tc>
        <w:tc>
          <w:tcPr>
            <w:tcW w:w="12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鸡肉</w:t>
            </w:r>
          </w:p>
        </w:tc>
        <w:tc>
          <w:tcPr>
            <w:tcW w:w="5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农业农村部公告 第250号《食品动物中禁止使用的药品及其他化合物清单》、GB 31650-2019《食品安全国家标准 食品中兽药最大残留限量》</w:t>
            </w:r>
          </w:p>
        </w:tc>
        <w:tc>
          <w:tcPr>
            <w:tcW w:w="2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氯霉素、五氯酚酸钠(以五氯酚计)、恩诺沙星、甲氧苄啶、多西环素、尼卡巴嗪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</w:trPr>
        <w:tc>
          <w:tcPr>
            <w:tcW w:w="599" w:type="dxa"/>
            <w:vMerge w:val="continue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18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水果类</w:t>
            </w:r>
          </w:p>
        </w:tc>
        <w:tc>
          <w:tcPr>
            <w:tcW w:w="13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热带和亚热带水果</w:t>
            </w:r>
          </w:p>
        </w:tc>
        <w:tc>
          <w:tcPr>
            <w:tcW w:w="12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香蕉</w:t>
            </w:r>
          </w:p>
        </w:tc>
        <w:tc>
          <w:tcPr>
            <w:tcW w:w="5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 2763-2021《食品安全国家标准 食品中农药最大残留限量》、GB 31650-2019《食品安全国家标准 食品中兽药最大残留限量》、农业农村部公告 第250号《食品动物中禁止使用的药品及其他化合物清单》</w:t>
            </w:r>
          </w:p>
        </w:tc>
        <w:tc>
          <w:tcPr>
            <w:tcW w:w="2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甲拌磷、联苯菊酯、吡唑醚菌酯、噻虫胺、噻虫嗪、吡虫啉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</w:trPr>
        <w:tc>
          <w:tcPr>
            <w:tcW w:w="599" w:type="dxa"/>
            <w:vMerge w:val="continue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18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生干坚果与籽类食品</w:t>
            </w:r>
          </w:p>
        </w:tc>
        <w:tc>
          <w:tcPr>
            <w:tcW w:w="13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生干坚果与籽类食品</w:t>
            </w:r>
          </w:p>
        </w:tc>
        <w:tc>
          <w:tcPr>
            <w:tcW w:w="12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生干籽类</w:t>
            </w:r>
          </w:p>
        </w:tc>
        <w:tc>
          <w:tcPr>
            <w:tcW w:w="5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 2761-2017《食品安全国家标准 食品中真菌毒素限量》、GB 19300-2014《食品安全国家标准 坚果与籽类食品》</w:t>
            </w:r>
          </w:p>
        </w:tc>
        <w:tc>
          <w:tcPr>
            <w:tcW w:w="2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黄曲霉毒素B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、过氧化值(以脂肪计)、酸价(以脂肪计)(KOH)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</w:trPr>
        <w:tc>
          <w:tcPr>
            <w:tcW w:w="599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188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食用油、油脂及其制品</w:t>
            </w:r>
          </w:p>
        </w:tc>
        <w:tc>
          <w:tcPr>
            <w:tcW w:w="115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食用植物油</w:t>
            </w:r>
          </w:p>
        </w:tc>
        <w:tc>
          <w:tcPr>
            <w:tcW w:w="1338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食用植物油</w:t>
            </w:r>
          </w:p>
        </w:tc>
        <w:tc>
          <w:tcPr>
            <w:tcW w:w="12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食用植物调和油</w:t>
            </w:r>
          </w:p>
        </w:tc>
        <w:tc>
          <w:tcPr>
            <w:tcW w:w="5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SB/T 10292-1998《食用调和油》、GB 2762-2017《食品安全国家标准 食品中污染物限量》、GB 2716-2018《食品安全国家标准 植物油》、GB 2760-2014《食品安全国家标准 食品添加剂使用标准》</w:t>
            </w:r>
          </w:p>
        </w:tc>
        <w:tc>
          <w:tcPr>
            <w:tcW w:w="2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酸价(KOH)、过氧化值、苯并[a]芘、溶剂残留量、特丁基对苯二酚(TBHQ)、铅(以Pb计)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</w:trPr>
        <w:tc>
          <w:tcPr>
            <w:tcW w:w="59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18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3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玉米油</w:t>
            </w:r>
          </w:p>
        </w:tc>
        <w:tc>
          <w:tcPr>
            <w:tcW w:w="5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 2716-2018《食品安全国家标准 植物油》、GB 2761-2017《食品安全国家标准 食品中真菌毒素限量》、GB 2762-2017《食品安全国家标准 食品中污染物限量》、GB 2760-2014《食品安全国家标准 食品添加剂使用标准》</w:t>
            </w:r>
          </w:p>
        </w:tc>
        <w:tc>
          <w:tcPr>
            <w:tcW w:w="2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酸价(KOH)、过氧化值、黄曲霉毒素B</w:t>
            </w:r>
            <w:r>
              <w:rPr>
                <w:rStyle w:val="32"/>
                <w:rFonts w:eastAsia="宋体"/>
                <w:lang w:val="en-US" w:eastAsia="zh-CN" w:bidi="ar"/>
              </w:rPr>
              <w:t>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、铅(以Pb计)、苯并[a]芘、特丁基对苯二酚(TBHQ)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</w:trPr>
        <w:tc>
          <w:tcPr>
            <w:tcW w:w="5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10</w:t>
            </w:r>
          </w:p>
        </w:tc>
        <w:tc>
          <w:tcPr>
            <w:tcW w:w="11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蔬菜制品</w:t>
            </w:r>
          </w:p>
        </w:tc>
        <w:tc>
          <w:tcPr>
            <w:tcW w:w="1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蔬菜制品</w:t>
            </w:r>
          </w:p>
        </w:tc>
        <w:tc>
          <w:tcPr>
            <w:tcW w:w="13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酱腌菜</w:t>
            </w:r>
          </w:p>
        </w:tc>
        <w:tc>
          <w:tcPr>
            <w:tcW w:w="12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酱腌菜</w:t>
            </w:r>
          </w:p>
        </w:tc>
        <w:tc>
          <w:tcPr>
            <w:tcW w:w="5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 2762-2017《食品安全国家标准 食品中污染物限量》、GB 2760-2014《食品安全国家标准 食品添加剂使用标准》、GB 2714-2015《食品安全国家标准 酱腌菜》</w:t>
            </w:r>
          </w:p>
        </w:tc>
        <w:tc>
          <w:tcPr>
            <w:tcW w:w="2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铅(以Pb计)、亚硝酸盐(以NaNO</w:t>
            </w:r>
            <w:r>
              <w:rPr>
                <w:rStyle w:val="32"/>
                <w:rFonts w:eastAsia="宋体"/>
                <w:lang w:val="en-US" w:eastAsia="zh-CN" w:bidi="ar"/>
              </w:rPr>
              <w:t>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计)、苯甲酸及其钠盐(以苯甲酸计)、山梨酸及其钾盐(以山梨酸计)、脱氢乙酸及其钠盐(以脱氢乙酸计)、糖精钠(以糖精计)、甜蜜素(以环己基氨基磺酸计)、阿斯巴甜、大肠菌群、二氧化硫残留量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</w:trPr>
        <w:tc>
          <w:tcPr>
            <w:tcW w:w="5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1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薯类和膨化食品</w:t>
            </w:r>
          </w:p>
        </w:tc>
        <w:tc>
          <w:tcPr>
            <w:tcW w:w="1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薯类和膨化食品</w:t>
            </w:r>
          </w:p>
        </w:tc>
        <w:tc>
          <w:tcPr>
            <w:tcW w:w="13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膨化食品</w:t>
            </w:r>
          </w:p>
        </w:tc>
        <w:tc>
          <w:tcPr>
            <w:tcW w:w="12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含油型膨化食品和非含油型膨化食品</w:t>
            </w:r>
          </w:p>
        </w:tc>
        <w:tc>
          <w:tcPr>
            <w:tcW w:w="5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 17401-2014《食品安全国家标准 膨化食品》、GB 2760-2014《食品安全国家标准 食品添加剂使用标准》</w:t>
            </w:r>
          </w:p>
        </w:tc>
        <w:tc>
          <w:tcPr>
            <w:tcW w:w="2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酸价（以脂肪计）、过氧化值（以脂肪计）、糖精钠（以糖精计）、苯甲酸及其钠盐（以苯甲酸计）、山梨酸及其钾盐（以山梨酸计）、菌落总数、大肠菌群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</w:trPr>
        <w:tc>
          <w:tcPr>
            <w:tcW w:w="599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188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糖果制品</w:t>
            </w:r>
          </w:p>
        </w:tc>
        <w:tc>
          <w:tcPr>
            <w:tcW w:w="115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糖果制品(含巧克力及制品)</w:t>
            </w:r>
          </w:p>
        </w:tc>
        <w:tc>
          <w:tcPr>
            <w:tcW w:w="13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糖果</w:t>
            </w:r>
          </w:p>
        </w:tc>
        <w:tc>
          <w:tcPr>
            <w:tcW w:w="12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糖果</w:t>
            </w:r>
          </w:p>
        </w:tc>
        <w:tc>
          <w:tcPr>
            <w:tcW w:w="5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 2760-2014《食品安全国家标准 食品添加剂使用标准》、GB 2762-2017《食品安全国家标准 食品中污染物限量》</w:t>
            </w:r>
          </w:p>
        </w:tc>
        <w:tc>
          <w:tcPr>
            <w:tcW w:w="2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铅（以Pb计）、糖精钠（以糖精计）、合成着色剂（柠檬黄、日落黄、苋菜红、胭脂红）、相同色泽着色剂混合使用时各自用量占其最大使用量的比例之和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</w:trPr>
        <w:tc>
          <w:tcPr>
            <w:tcW w:w="59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18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果冻</w:t>
            </w:r>
          </w:p>
        </w:tc>
        <w:tc>
          <w:tcPr>
            <w:tcW w:w="12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果冻</w:t>
            </w:r>
          </w:p>
        </w:tc>
        <w:tc>
          <w:tcPr>
            <w:tcW w:w="5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 2760-2014《食品安全国家标准 食品添加剂使用标准》、GB 19299-2015《食品安全国家标准 果冻》</w:t>
            </w:r>
          </w:p>
        </w:tc>
        <w:tc>
          <w:tcPr>
            <w:tcW w:w="2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山梨酸及其钾盐（以山梨酸计）、苯甲酸及其钠盐（以苯甲酸计）、糖精钠（以糖精计）、甜蜜素（以环己基氨基磺酸计）、菌落总数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</w:trPr>
        <w:tc>
          <w:tcPr>
            <w:tcW w:w="599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188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饮料</w:t>
            </w:r>
          </w:p>
        </w:tc>
        <w:tc>
          <w:tcPr>
            <w:tcW w:w="115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饮料</w:t>
            </w:r>
          </w:p>
        </w:tc>
        <w:tc>
          <w:tcPr>
            <w:tcW w:w="13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蛋白饮料</w:t>
            </w:r>
          </w:p>
        </w:tc>
        <w:tc>
          <w:tcPr>
            <w:tcW w:w="12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蛋白饮料</w:t>
            </w:r>
          </w:p>
        </w:tc>
        <w:tc>
          <w:tcPr>
            <w:tcW w:w="5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产品明示标准和质量要求、卫生部、工业和信息化部、农业部、工商总局、质检总局公告2011年第10号《关于三聚氰胺在食品中的限量值的公告》、GB 2760-2014《食品安全国家标准 食品添加剂使用标准》、GB 7101-2015《食品安全国家标准 饮料》</w:t>
            </w:r>
          </w:p>
        </w:tc>
        <w:tc>
          <w:tcPr>
            <w:tcW w:w="2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蛋白质、三聚氰胺、脱氢乙酸及其钠盐（以脱氢乙酸计）、菌落总数、大肠菌群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</w:trPr>
        <w:tc>
          <w:tcPr>
            <w:tcW w:w="59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18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固体饮料</w:t>
            </w:r>
          </w:p>
        </w:tc>
        <w:tc>
          <w:tcPr>
            <w:tcW w:w="12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固体饮料</w:t>
            </w:r>
          </w:p>
        </w:tc>
        <w:tc>
          <w:tcPr>
            <w:tcW w:w="5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 7101-2015《食品安全国家标准 饮料》、GB 2762-2017《食品安全国家标准 食品中污染物限量》</w:t>
            </w:r>
          </w:p>
        </w:tc>
        <w:tc>
          <w:tcPr>
            <w:tcW w:w="2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蛋白质、铅（以Pb计）、菌落总数、大肠菌群、霉菌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</w:trPr>
        <w:tc>
          <w:tcPr>
            <w:tcW w:w="59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18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其他饮料</w:t>
            </w:r>
          </w:p>
        </w:tc>
        <w:tc>
          <w:tcPr>
            <w:tcW w:w="12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其他饮料</w:t>
            </w:r>
          </w:p>
        </w:tc>
        <w:tc>
          <w:tcPr>
            <w:tcW w:w="5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 2760-2014《食品安全国家标准 食品添加剂使用标准》、GB 7101-2015《食品安全国家标准 饮料》</w:t>
            </w:r>
          </w:p>
        </w:tc>
        <w:tc>
          <w:tcPr>
            <w:tcW w:w="2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山梨酸及其钾盐（以山梨酸计）、脱氢乙酸及其钠盐（以脱氢乙酸计）、甜蜜素（以环己基氨基磺酸计）、菌落总数、大肠菌群</w:t>
            </w:r>
          </w:p>
        </w:tc>
      </w:tr>
    </w:tbl>
    <w:p>
      <w:pPr>
        <w:spacing w:line="600" w:lineRule="exact"/>
        <w:textAlignment w:val="baseline"/>
        <w:rPr>
          <w:rFonts w:ascii="宋体" w:cs="Times New Roman"/>
          <w:color w:val="000000"/>
          <w:kern w:val="0"/>
          <w:sz w:val="18"/>
          <w:szCs w:val="18"/>
        </w:rPr>
      </w:pPr>
    </w:p>
    <w:sectPr>
      <w:pgSz w:w="16838" w:h="11906" w:orient="landscape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0NmY3Njk0OTA2MDBjMmMzOTQ5NDE1NzE1YzE4MDYifQ=="/>
  </w:docVars>
  <w:rsids>
    <w:rsidRoot w:val="00E45F03"/>
    <w:rsid w:val="00020472"/>
    <w:rsid w:val="00021A44"/>
    <w:rsid w:val="000334EB"/>
    <w:rsid w:val="000531C6"/>
    <w:rsid w:val="00057C9D"/>
    <w:rsid w:val="000644E2"/>
    <w:rsid w:val="00075FA6"/>
    <w:rsid w:val="000800AE"/>
    <w:rsid w:val="00097E5A"/>
    <w:rsid w:val="000A077E"/>
    <w:rsid w:val="000A1CA7"/>
    <w:rsid w:val="000A1D22"/>
    <w:rsid w:val="000B050A"/>
    <w:rsid w:val="000B6096"/>
    <w:rsid w:val="000B6C93"/>
    <w:rsid w:val="000C18BE"/>
    <w:rsid w:val="000D287B"/>
    <w:rsid w:val="0010014F"/>
    <w:rsid w:val="00102897"/>
    <w:rsid w:val="00113712"/>
    <w:rsid w:val="00156C2C"/>
    <w:rsid w:val="001570A9"/>
    <w:rsid w:val="00170E37"/>
    <w:rsid w:val="00177A5D"/>
    <w:rsid w:val="00184B83"/>
    <w:rsid w:val="001A6B3F"/>
    <w:rsid w:val="001B57E1"/>
    <w:rsid w:val="001B7BFF"/>
    <w:rsid w:val="001C5998"/>
    <w:rsid w:val="001F4806"/>
    <w:rsid w:val="00213A57"/>
    <w:rsid w:val="00220C3B"/>
    <w:rsid w:val="00272DBE"/>
    <w:rsid w:val="00296F29"/>
    <w:rsid w:val="002A1746"/>
    <w:rsid w:val="002A4B60"/>
    <w:rsid w:val="002A6787"/>
    <w:rsid w:val="002C0406"/>
    <w:rsid w:val="002C6A5D"/>
    <w:rsid w:val="002E4463"/>
    <w:rsid w:val="002E4D72"/>
    <w:rsid w:val="002E6CE1"/>
    <w:rsid w:val="002F5188"/>
    <w:rsid w:val="002F5D8F"/>
    <w:rsid w:val="00333515"/>
    <w:rsid w:val="00334816"/>
    <w:rsid w:val="00357F27"/>
    <w:rsid w:val="0038633A"/>
    <w:rsid w:val="00392B20"/>
    <w:rsid w:val="003943E0"/>
    <w:rsid w:val="003A1E99"/>
    <w:rsid w:val="003A3AFE"/>
    <w:rsid w:val="003A4B94"/>
    <w:rsid w:val="003B51E2"/>
    <w:rsid w:val="003D0B14"/>
    <w:rsid w:val="003E1542"/>
    <w:rsid w:val="003F6312"/>
    <w:rsid w:val="003F6FCD"/>
    <w:rsid w:val="00417336"/>
    <w:rsid w:val="00417B40"/>
    <w:rsid w:val="00431EC2"/>
    <w:rsid w:val="004471F2"/>
    <w:rsid w:val="00457D30"/>
    <w:rsid w:val="0047273E"/>
    <w:rsid w:val="00483E26"/>
    <w:rsid w:val="004A2F45"/>
    <w:rsid w:val="004C40C8"/>
    <w:rsid w:val="004C7EB2"/>
    <w:rsid w:val="004D5FF8"/>
    <w:rsid w:val="004D6D8C"/>
    <w:rsid w:val="004F3122"/>
    <w:rsid w:val="00506EEA"/>
    <w:rsid w:val="0051721E"/>
    <w:rsid w:val="0054294C"/>
    <w:rsid w:val="005643F4"/>
    <w:rsid w:val="005771A5"/>
    <w:rsid w:val="00584C1F"/>
    <w:rsid w:val="00596CE3"/>
    <w:rsid w:val="005A47F0"/>
    <w:rsid w:val="005B0C1C"/>
    <w:rsid w:val="005B469F"/>
    <w:rsid w:val="005D7D45"/>
    <w:rsid w:val="005E2E5E"/>
    <w:rsid w:val="005F6AB2"/>
    <w:rsid w:val="00621DA4"/>
    <w:rsid w:val="00656EA2"/>
    <w:rsid w:val="00687316"/>
    <w:rsid w:val="0069030F"/>
    <w:rsid w:val="0069349E"/>
    <w:rsid w:val="006A4A55"/>
    <w:rsid w:val="006A6837"/>
    <w:rsid w:val="006B139A"/>
    <w:rsid w:val="006F32DE"/>
    <w:rsid w:val="00721330"/>
    <w:rsid w:val="00745A18"/>
    <w:rsid w:val="007509C7"/>
    <w:rsid w:val="00757C06"/>
    <w:rsid w:val="0076408A"/>
    <w:rsid w:val="0076553E"/>
    <w:rsid w:val="007679F1"/>
    <w:rsid w:val="00770EEA"/>
    <w:rsid w:val="00772B6F"/>
    <w:rsid w:val="00772F9F"/>
    <w:rsid w:val="007732F1"/>
    <w:rsid w:val="0077575E"/>
    <w:rsid w:val="00776FB3"/>
    <w:rsid w:val="0077710D"/>
    <w:rsid w:val="00782DD9"/>
    <w:rsid w:val="00783A82"/>
    <w:rsid w:val="0078450E"/>
    <w:rsid w:val="007B0FA7"/>
    <w:rsid w:val="007E7E63"/>
    <w:rsid w:val="007F0457"/>
    <w:rsid w:val="007F16D0"/>
    <w:rsid w:val="00804CA1"/>
    <w:rsid w:val="00806884"/>
    <w:rsid w:val="00807CA9"/>
    <w:rsid w:val="0082346C"/>
    <w:rsid w:val="00830D7B"/>
    <w:rsid w:val="00831A6E"/>
    <w:rsid w:val="00831EDD"/>
    <w:rsid w:val="00840532"/>
    <w:rsid w:val="00854D09"/>
    <w:rsid w:val="008550AE"/>
    <w:rsid w:val="008572D6"/>
    <w:rsid w:val="0086226C"/>
    <w:rsid w:val="008743A6"/>
    <w:rsid w:val="0087748F"/>
    <w:rsid w:val="00880F04"/>
    <w:rsid w:val="00895177"/>
    <w:rsid w:val="008C24F5"/>
    <w:rsid w:val="008C7974"/>
    <w:rsid w:val="008D7ECA"/>
    <w:rsid w:val="008E1C89"/>
    <w:rsid w:val="00910447"/>
    <w:rsid w:val="009125A7"/>
    <w:rsid w:val="0092760E"/>
    <w:rsid w:val="00931FA9"/>
    <w:rsid w:val="00933A31"/>
    <w:rsid w:val="0094303D"/>
    <w:rsid w:val="00961E31"/>
    <w:rsid w:val="0096604C"/>
    <w:rsid w:val="009669E4"/>
    <w:rsid w:val="00966ED2"/>
    <w:rsid w:val="009702EA"/>
    <w:rsid w:val="009723FD"/>
    <w:rsid w:val="0098153C"/>
    <w:rsid w:val="009A454F"/>
    <w:rsid w:val="009B0D33"/>
    <w:rsid w:val="009B17D9"/>
    <w:rsid w:val="009B2B3B"/>
    <w:rsid w:val="009B7074"/>
    <w:rsid w:val="009C78F5"/>
    <w:rsid w:val="009D0BD1"/>
    <w:rsid w:val="009D113B"/>
    <w:rsid w:val="009D7D48"/>
    <w:rsid w:val="009E0C03"/>
    <w:rsid w:val="009F4DF7"/>
    <w:rsid w:val="009F4E9A"/>
    <w:rsid w:val="00A01F57"/>
    <w:rsid w:val="00A07CB7"/>
    <w:rsid w:val="00A1575B"/>
    <w:rsid w:val="00A257DB"/>
    <w:rsid w:val="00A27103"/>
    <w:rsid w:val="00A44D17"/>
    <w:rsid w:val="00A575AB"/>
    <w:rsid w:val="00A701D5"/>
    <w:rsid w:val="00A73BCA"/>
    <w:rsid w:val="00A80158"/>
    <w:rsid w:val="00A94006"/>
    <w:rsid w:val="00AB29D0"/>
    <w:rsid w:val="00AB7501"/>
    <w:rsid w:val="00AC1A0C"/>
    <w:rsid w:val="00AE1F23"/>
    <w:rsid w:val="00AE3CE7"/>
    <w:rsid w:val="00B25843"/>
    <w:rsid w:val="00B2683B"/>
    <w:rsid w:val="00B2770C"/>
    <w:rsid w:val="00B30AAD"/>
    <w:rsid w:val="00B44A31"/>
    <w:rsid w:val="00B5586D"/>
    <w:rsid w:val="00B6513D"/>
    <w:rsid w:val="00B75502"/>
    <w:rsid w:val="00B77214"/>
    <w:rsid w:val="00B92D7D"/>
    <w:rsid w:val="00B976AD"/>
    <w:rsid w:val="00BA55D1"/>
    <w:rsid w:val="00BD057A"/>
    <w:rsid w:val="00BD0C90"/>
    <w:rsid w:val="00BE6929"/>
    <w:rsid w:val="00BF148C"/>
    <w:rsid w:val="00C02532"/>
    <w:rsid w:val="00C33DC3"/>
    <w:rsid w:val="00C35DBC"/>
    <w:rsid w:val="00C43554"/>
    <w:rsid w:val="00C4522E"/>
    <w:rsid w:val="00C945C2"/>
    <w:rsid w:val="00CA264C"/>
    <w:rsid w:val="00CB47DF"/>
    <w:rsid w:val="00CC6249"/>
    <w:rsid w:val="00CD5FAA"/>
    <w:rsid w:val="00CE13D2"/>
    <w:rsid w:val="00CE4815"/>
    <w:rsid w:val="00CE73CD"/>
    <w:rsid w:val="00CF0D96"/>
    <w:rsid w:val="00D02604"/>
    <w:rsid w:val="00D13D9A"/>
    <w:rsid w:val="00D417A6"/>
    <w:rsid w:val="00D41D67"/>
    <w:rsid w:val="00D47DC9"/>
    <w:rsid w:val="00D71A50"/>
    <w:rsid w:val="00D82BFE"/>
    <w:rsid w:val="00D864E8"/>
    <w:rsid w:val="00D86D9B"/>
    <w:rsid w:val="00DB10E3"/>
    <w:rsid w:val="00DB35A6"/>
    <w:rsid w:val="00DD3C2E"/>
    <w:rsid w:val="00DD7C36"/>
    <w:rsid w:val="00DF497A"/>
    <w:rsid w:val="00DF5284"/>
    <w:rsid w:val="00DF5F7D"/>
    <w:rsid w:val="00E06234"/>
    <w:rsid w:val="00E31D88"/>
    <w:rsid w:val="00E34012"/>
    <w:rsid w:val="00E45F03"/>
    <w:rsid w:val="00E5072A"/>
    <w:rsid w:val="00E610CF"/>
    <w:rsid w:val="00E623E6"/>
    <w:rsid w:val="00E6313E"/>
    <w:rsid w:val="00E74907"/>
    <w:rsid w:val="00E764E7"/>
    <w:rsid w:val="00E82D78"/>
    <w:rsid w:val="00E91EE9"/>
    <w:rsid w:val="00E92087"/>
    <w:rsid w:val="00E92160"/>
    <w:rsid w:val="00EA1F06"/>
    <w:rsid w:val="00EB4141"/>
    <w:rsid w:val="00EC00A4"/>
    <w:rsid w:val="00EC22DC"/>
    <w:rsid w:val="00EC3160"/>
    <w:rsid w:val="00EE12C0"/>
    <w:rsid w:val="00EF608B"/>
    <w:rsid w:val="00F123FB"/>
    <w:rsid w:val="00F20699"/>
    <w:rsid w:val="00F232B8"/>
    <w:rsid w:val="00F42123"/>
    <w:rsid w:val="00F43C55"/>
    <w:rsid w:val="00F47F39"/>
    <w:rsid w:val="00F54AE5"/>
    <w:rsid w:val="00F56DA2"/>
    <w:rsid w:val="00F643E1"/>
    <w:rsid w:val="00F77D89"/>
    <w:rsid w:val="00F86640"/>
    <w:rsid w:val="00F9271E"/>
    <w:rsid w:val="00FD13F8"/>
    <w:rsid w:val="00FD24DB"/>
    <w:rsid w:val="00FE1ED3"/>
    <w:rsid w:val="00FE3F84"/>
    <w:rsid w:val="00FF23A3"/>
    <w:rsid w:val="00FF4C9A"/>
    <w:rsid w:val="01347C69"/>
    <w:rsid w:val="03B8571A"/>
    <w:rsid w:val="04AB2539"/>
    <w:rsid w:val="07107AFC"/>
    <w:rsid w:val="079B1CAA"/>
    <w:rsid w:val="08E9780C"/>
    <w:rsid w:val="09AE1034"/>
    <w:rsid w:val="09FF0129"/>
    <w:rsid w:val="0A0611D6"/>
    <w:rsid w:val="0AD6181C"/>
    <w:rsid w:val="0B2B4169"/>
    <w:rsid w:val="0BB7094C"/>
    <w:rsid w:val="0DE45A43"/>
    <w:rsid w:val="0EC570B2"/>
    <w:rsid w:val="0FAA3555"/>
    <w:rsid w:val="1114193C"/>
    <w:rsid w:val="11273B1B"/>
    <w:rsid w:val="113C2595"/>
    <w:rsid w:val="12607AD5"/>
    <w:rsid w:val="12AB2CB5"/>
    <w:rsid w:val="13542691"/>
    <w:rsid w:val="137F5235"/>
    <w:rsid w:val="14030150"/>
    <w:rsid w:val="158673CD"/>
    <w:rsid w:val="16027150"/>
    <w:rsid w:val="16896315"/>
    <w:rsid w:val="179D5689"/>
    <w:rsid w:val="183015E8"/>
    <w:rsid w:val="184B73C5"/>
    <w:rsid w:val="18F37BAE"/>
    <w:rsid w:val="19431C56"/>
    <w:rsid w:val="19696CF7"/>
    <w:rsid w:val="1C8B1BF3"/>
    <w:rsid w:val="1CA50DCA"/>
    <w:rsid w:val="1D051C5B"/>
    <w:rsid w:val="1D137939"/>
    <w:rsid w:val="1D5029AA"/>
    <w:rsid w:val="1D682F98"/>
    <w:rsid w:val="1DF5369D"/>
    <w:rsid w:val="1FFB52D3"/>
    <w:rsid w:val="20241E51"/>
    <w:rsid w:val="21AE004B"/>
    <w:rsid w:val="225F0AE7"/>
    <w:rsid w:val="23583152"/>
    <w:rsid w:val="23EB4A74"/>
    <w:rsid w:val="24394317"/>
    <w:rsid w:val="24AB7392"/>
    <w:rsid w:val="25264285"/>
    <w:rsid w:val="25A119D4"/>
    <w:rsid w:val="2640710B"/>
    <w:rsid w:val="26EA1046"/>
    <w:rsid w:val="27322E4F"/>
    <w:rsid w:val="273E5241"/>
    <w:rsid w:val="27AF4BA5"/>
    <w:rsid w:val="28A6372A"/>
    <w:rsid w:val="28BD5771"/>
    <w:rsid w:val="28DF0C59"/>
    <w:rsid w:val="2907187F"/>
    <w:rsid w:val="29B97189"/>
    <w:rsid w:val="2A056C2B"/>
    <w:rsid w:val="2AAC0136"/>
    <w:rsid w:val="2B3E0164"/>
    <w:rsid w:val="2B6E7E2B"/>
    <w:rsid w:val="2B707610"/>
    <w:rsid w:val="2BE2486C"/>
    <w:rsid w:val="2D9460B7"/>
    <w:rsid w:val="2DAD2A0F"/>
    <w:rsid w:val="2F494B49"/>
    <w:rsid w:val="3015654A"/>
    <w:rsid w:val="30311EBB"/>
    <w:rsid w:val="30537ED1"/>
    <w:rsid w:val="31006986"/>
    <w:rsid w:val="31011C61"/>
    <w:rsid w:val="33804D20"/>
    <w:rsid w:val="33C823CA"/>
    <w:rsid w:val="33E8544D"/>
    <w:rsid w:val="341552A9"/>
    <w:rsid w:val="34235CAA"/>
    <w:rsid w:val="34E14E14"/>
    <w:rsid w:val="34F61F77"/>
    <w:rsid w:val="350658EB"/>
    <w:rsid w:val="3548404D"/>
    <w:rsid w:val="35721096"/>
    <w:rsid w:val="35EC7249"/>
    <w:rsid w:val="364C3D59"/>
    <w:rsid w:val="36DD6F9F"/>
    <w:rsid w:val="37986203"/>
    <w:rsid w:val="37C6529E"/>
    <w:rsid w:val="384F258A"/>
    <w:rsid w:val="39442A20"/>
    <w:rsid w:val="3A246B9B"/>
    <w:rsid w:val="3C24326C"/>
    <w:rsid w:val="3C654BB5"/>
    <w:rsid w:val="3CA67340"/>
    <w:rsid w:val="3D0E3F32"/>
    <w:rsid w:val="3F4F7722"/>
    <w:rsid w:val="3F9523ED"/>
    <w:rsid w:val="3FCD066B"/>
    <w:rsid w:val="3FDE7EDF"/>
    <w:rsid w:val="3FEF03D6"/>
    <w:rsid w:val="40561BFB"/>
    <w:rsid w:val="40AD7E16"/>
    <w:rsid w:val="41FD3E29"/>
    <w:rsid w:val="4242097E"/>
    <w:rsid w:val="42600E82"/>
    <w:rsid w:val="430E2072"/>
    <w:rsid w:val="43B576DD"/>
    <w:rsid w:val="448320E4"/>
    <w:rsid w:val="4510012C"/>
    <w:rsid w:val="488E15C5"/>
    <w:rsid w:val="489D43BB"/>
    <w:rsid w:val="49102E92"/>
    <w:rsid w:val="49FE225B"/>
    <w:rsid w:val="4A7D67EF"/>
    <w:rsid w:val="4A7F1CD0"/>
    <w:rsid w:val="4B5251A1"/>
    <w:rsid w:val="4B7B4360"/>
    <w:rsid w:val="4C156994"/>
    <w:rsid w:val="4C224ED4"/>
    <w:rsid w:val="4C4B7774"/>
    <w:rsid w:val="4D5D50A1"/>
    <w:rsid w:val="4E044C0B"/>
    <w:rsid w:val="4E4062D7"/>
    <w:rsid w:val="4EDB6A25"/>
    <w:rsid w:val="4FA37E96"/>
    <w:rsid w:val="4FC27A55"/>
    <w:rsid w:val="509D6177"/>
    <w:rsid w:val="51181F7A"/>
    <w:rsid w:val="51AF3024"/>
    <w:rsid w:val="52F848CA"/>
    <w:rsid w:val="534010FC"/>
    <w:rsid w:val="53C3756F"/>
    <w:rsid w:val="5622492D"/>
    <w:rsid w:val="56324344"/>
    <w:rsid w:val="56A24FF4"/>
    <w:rsid w:val="59847EEC"/>
    <w:rsid w:val="5A521C48"/>
    <w:rsid w:val="5ACF60FC"/>
    <w:rsid w:val="5DAD7402"/>
    <w:rsid w:val="5DD60C8D"/>
    <w:rsid w:val="5E7863DA"/>
    <w:rsid w:val="5EB60EC0"/>
    <w:rsid w:val="603C3D4B"/>
    <w:rsid w:val="60411D3A"/>
    <w:rsid w:val="60873B69"/>
    <w:rsid w:val="6095650F"/>
    <w:rsid w:val="60AB1B90"/>
    <w:rsid w:val="61B94FCE"/>
    <w:rsid w:val="63492CE2"/>
    <w:rsid w:val="65A733A9"/>
    <w:rsid w:val="65D86645"/>
    <w:rsid w:val="66041016"/>
    <w:rsid w:val="66564A62"/>
    <w:rsid w:val="669E1249"/>
    <w:rsid w:val="66CF21D7"/>
    <w:rsid w:val="66E83E36"/>
    <w:rsid w:val="675337A2"/>
    <w:rsid w:val="67B26A13"/>
    <w:rsid w:val="683E5B31"/>
    <w:rsid w:val="68456BAE"/>
    <w:rsid w:val="68717262"/>
    <w:rsid w:val="68B56971"/>
    <w:rsid w:val="6A221D5B"/>
    <w:rsid w:val="6A3407EC"/>
    <w:rsid w:val="6A9676FA"/>
    <w:rsid w:val="6AB426F4"/>
    <w:rsid w:val="6B320D4C"/>
    <w:rsid w:val="6B4B6FEC"/>
    <w:rsid w:val="6D54524C"/>
    <w:rsid w:val="6E310A95"/>
    <w:rsid w:val="6E981469"/>
    <w:rsid w:val="709275B6"/>
    <w:rsid w:val="70E61F39"/>
    <w:rsid w:val="713F4727"/>
    <w:rsid w:val="71AE6CB5"/>
    <w:rsid w:val="724F253E"/>
    <w:rsid w:val="73BA5706"/>
    <w:rsid w:val="746630B1"/>
    <w:rsid w:val="746C1D4A"/>
    <w:rsid w:val="74880DF2"/>
    <w:rsid w:val="74E63029"/>
    <w:rsid w:val="75F133A8"/>
    <w:rsid w:val="761060B7"/>
    <w:rsid w:val="767C572B"/>
    <w:rsid w:val="77492B3A"/>
    <w:rsid w:val="774C69E0"/>
    <w:rsid w:val="77982204"/>
    <w:rsid w:val="77D70206"/>
    <w:rsid w:val="78164610"/>
    <w:rsid w:val="781F754D"/>
    <w:rsid w:val="788A2401"/>
    <w:rsid w:val="78DE190C"/>
    <w:rsid w:val="78E6601B"/>
    <w:rsid w:val="79213AE3"/>
    <w:rsid w:val="794321A1"/>
    <w:rsid w:val="79E2563E"/>
    <w:rsid w:val="7A920D7B"/>
    <w:rsid w:val="7BAB785A"/>
    <w:rsid w:val="7C341000"/>
    <w:rsid w:val="7C5B37D4"/>
    <w:rsid w:val="7CEB1BBE"/>
    <w:rsid w:val="7CED610A"/>
    <w:rsid w:val="7CF5043F"/>
    <w:rsid w:val="7D087551"/>
    <w:rsid w:val="7D1E4642"/>
    <w:rsid w:val="7D834B30"/>
    <w:rsid w:val="7D9B4CBE"/>
    <w:rsid w:val="7DCA5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0" w:semiHidden="0" w:name="Normal Indent"/>
    <w:lsdException w:uiPriority="99" w:name="footnote text"/>
    <w:lsdException w:qFormat="1" w:unhideWhenUsed="0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autoSpaceDE w:val="0"/>
      <w:autoSpaceDN w:val="0"/>
      <w:adjustRightInd w:val="0"/>
      <w:ind w:firstLine="420" w:firstLineChars="200"/>
    </w:pPr>
  </w:style>
  <w:style w:type="paragraph" w:styleId="3">
    <w:name w:val="annotation text"/>
    <w:basedOn w:val="1"/>
    <w:link w:val="11"/>
    <w:semiHidden/>
    <w:qFormat/>
    <w:uiPriority w:val="99"/>
    <w:pPr>
      <w:jc w:val="left"/>
    </w:pPr>
  </w:style>
  <w:style w:type="paragraph" w:styleId="4">
    <w:name w:val="Balloon Text"/>
    <w:basedOn w:val="1"/>
    <w:link w:val="12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1">
    <w:name w:val="批注文字 字符"/>
    <w:basedOn w:val="8"/>
    <w:link w:val="3"/>
    <w:semiHidden/>
    <w:qFormat/>
    <w:uiPriority w:val="99"/>
    <w:rPr>
      <w:rFonts w:ascii="Calibri" w:hAnsi="Calibri" w:cs="Calibri"/>
      <w:szCs w:val="21"/>
    </w:rPr>
  </w:style>
  <w:style w:type="character" w:customStyle="1" w:styleId="12">
    <w:name w:val="批注框文本 字符"/>
    <w:basedOn w:val="8"/>
    <w:link w:val="4"/>
    <w:semiHidden/>
    <w:qFormat/>
    <w:locked/>
    <w:uiPriority w:val="99"/>
    <w:rPr>
      <w:rFonts w:ascii="Calibri" w:hAnsi="Calibri" w:eastAsia="宋体" w:cs="Calibri"/>
      <w:kern w:val="2"/>
      <w:sz w:val="18"/>
      <w:szCs w:val="18"/>
    </w:rPr>
  </w:style>
  <w:style w:type="character" w:customStyle="1" w:styleId="13">
    <w:name w:val="页脚 字符"/>
    <w:basedOn w:val="8"/>
    <w:link w:val="5"/>
    <w:qFormat/>
    <w:locked/>
    <w:uiPriority w:val="99"/>
    <w:rPr>
      <w:sz w:val="18"/>
      <w:szCs w:val="18"/>
    </w:rPr>
  </w:style>
  <w:style w:type="character" w:customStyle="1" w:styleId="14">
    <w:name w:val="页眉 字符"/>
    <w:basedOn w:val="8"/>
    <w:link w:val="6"/>
    <w:qFormat/>
    <w:locked/>
    <w:uiPriority w:val="99"/>
    <w:rPr>
      <w:sz w:val="18"/>
      <w:szCs w:val="18"/>
    </w:rPr>
  </w:style>
  <w:style w:type="character" w:customStyle="1" w:styleId="15">
    <w:name w:val="font21"/>
    <w:basedOn w:val="8"/>
    <w:qFormat/>
    <w:uiPriority w:val="99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16">
    <w:name w:val="font11"/>
    <w:basedOn w:val="8"/>
    <w:qFormat/>
    <w:uiPriority w:val="99"/>
    <w:rPr>
      <w:rFonts w:ascii="宋体" w:hAnsi="宋体" w:eastAsia="宋体" w:cs="宋体"/>
      <w:color w:val="000000"/>
      <w:sz w:val="18"/>
      <w:szCs w:val="18"/>
      <w:u w:val="none"/>
      <w:vertAlign w:val="subscript"/>
    </w:rPr>
  </w:style>
  <w:style w:type="character" w:customStyle="1" w:styleId="17">
    <w:name w:val="font31"/>
    <w:basedOn w:val="8"/>
    <w:qFormat/>
    <w:uiPriority w:val="99"/>
    <w:rPr>
      <w:rFonts w:ascii="宋体" w:hAnsi="宋体" w:eastAsia="宋体" w:cs="宋体"/>
      <w:b/>
      <w:bCs/>
      <w:color w:val="000000"/>
      <w:sz w:val="18"/>
      <w:szCs w:val="18"/>
      <w:u w:val="none"/>
    </w:rPr>
  </w:style>
  <w:style w:type="character" w:customStyle="1" w:styleId="18">
    <w:name w:val="font41"/>
    <w:basedOn w:val="8"/>
    <w:qFormat/>
    <w:uiPriority w:val="99"/>
    <w:rPr>
      <w:rFonts w:ascii="宋体" w:hAnsi="宋体" w:eastAsia="宋体" w:cs="宋体"/>
      <w:color w:val="000000"/>
      <w:sz w:val="18"/>
      <w:szCs w:val="18"/>
      <w:u w:val="none"/>
      <w:vertAlign w:val="superscript"/>
    </w:rPr>
  </w:style>
  <w:style w:type="character" w:customStyle="1" w:styleId="19">
    <w:name w:val="font91"/>
    <w:basedOn w:val="8"/>
    <w:qFormat/>
    <w:uiPriority w:val="99"/>
    <w:rPr>
      <w:rFonts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20">
    <w:name w:val="font131"/>
    <w:basedOn w:val="8"/>
    <w:qFormat/>
    <w:uiPriority w:val="99"/>
    <w:rPr>
      <w:rFonts w:ascii="宋体" w:hAnsi="宋体" w:eastAsia="宋体" w:cs="宋体"/>
      <w:color w:val="000000"/>
      <w:sz w:val="20"/>
      <w:szCs w:val="20"/>
      <w:u w:val="none"/>
      <w:vertAlign w:val="superscript"/>
    </w:rPr>
  </w:style>
  <w:style w:type="character" w:customStyle="1" w:styleId="21">
    <w:name w:val="font181"/>
    <w:basedOn w:val="8"/>
    <w:qFormat/>
    <w:uiPriority w:val="99"/>
    <w:rPr>
      <w:rFonts w:ascii="宋体" w:hAnsi="宋体" w:eastAsia="宋体" w:cs="宋体"/>
      <w:b/>
      <w:bCs/>
      <w:color w:val="FF0000"/>
      <w:sz w:val="20"/>
      <w:szCs w:val="20"/>
      <w:u w:val="none"/>
    </w:rPr>
  </w:style>
  <w:style w:type="character" w:customStyle="1" w:styleId="22">
    <w:name w:val="font281"/>
    <w:basedOn w:val="8"/>
    <w:qFormat/>
    <w:uiPriority w:val="99"/>
    <w:rPr>
      <w:rFonts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23">
    <w:name w:val="font221"/>
    <w:basedOn w:val="8"/>
    <w:qFormat/>
    <w:uiPriority w:val="99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24">
    <w:name w:val="font61"/>
    <w:basedOn w:val="8"/>
    <w:qFormat/>
    <w:uiPriority w:val="99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25">
    <w:name w:val="font241"/>
    <w:basedOn w:val="8"/>
    <w:qFormat/>
    <w:uiPriority w:val="99"/>
    <w:rPr>
      <w:rFonts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26">
    <w:name w:val="font212"/>
    <w:basedOn w:val="8"/>
    <w:qFormat/>
    <w:uiPriority w:val="99"/>
    <w:rPr>
      <w:rFonts w:ascii="宋体" w:hAnsi="宋体" w:eastAsia="宋体" w:cs="宋体"/>
      <w:color w:val="FF0000"/>
      <w:sz w:val="20"/>
      <w:szCs w:val="20"/>
      <w:u w:val="none"/>
    </w:rPr>
  </w:style>
  <w:style w:type="character" w:customStyle="1" w:styleId="27">
    <w:name w:val="font201"/>
    <w:basedOn w:val="8"/>
    <w:qFormat/>
    <w:uiPriority w:val="99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28">
    <w:name w:val="font261"/>
    <w:basedOn w:val="8"/>
    <w:qFormat/>
    <w:uiPriority w:val="99"/>
    <w:rPr>
      <w:rFonts w:ascii="宋体" w:hAnsi="宋体" w:eastAsia="宋体" w:cs="宋体"/>
      <w:color w:val="000000"/>
      <w:sz w:val="18"/>
      <w:szCs w:val="18"/>
      <w:u w:val="none"/>
      <w:vertAlign w:val="superscript"/>
    </w:rPr>
  </w:style>
  <w:style w:type="character" w:customStyle="1" w:styleId="29">
    <w:name w:val="font171"/>
    <w:basedOn w:val="8"/>
    <w:qFormat/>
    <w:uiPriority w:val="99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30">
    <w:name w:val="font81"/>
    <w:basedOn w:val="8"/>
    <w:qFormat/>
    <w:uiPriority w:val="99"/>
    <w:rPr>
      <w:rFonts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31">
    <w:name w:val="font01"/>
    <w:basedOn w:val="8"/>
    <w:qFormat/>
    <w:uiPriority w:val="99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32">
    <w:name w:val="font51"/>
    <w:basedOn w:val="8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http://sdwm.org</Company>
  <Pages>6</Pages>
  <Words>3735</Words>
  <Characters>4410</Characters>
  <Lines>6</Lines>
  <Paragraphs>1</Paragraphs>
  <TotalTime>2</TotalTime>
  <ScaleCrop>false</ScaleCrop>
  <LinksUpToDate>false</LinksUpToDate>
  <CharactersWithSpaces>4536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2017-09-01T08:15:00Z</dcterms:created>
  <dc:creator>SDWM</dc:creator>
  <cp:lastModifiedBy>Administrator</cp:lastModifiedBy>
  <cp:lastPrinted>2016-11-22T01:43:00Z</cp:lastPrinted>
  <dcterms:modified xsi:type="dcterms:W3CDTF">2023-04-28T06:26:43Z</dcterms:modified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  <property fmtid="{D5CDD505-2E9C-101B-9397-08002B2CF9AE}" pid="3" name="ICV">
    <vt:lpwstr>6E58A4A656F240849A6E246D2319122A</vt:lpwstr>
  </property>
</Properties>
</file>