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海珠区财政局202</w:t>
      </w:r>
      <w:r>
        <w:rPr>
          <w:rFonts w:hint="eastAsia" w:ascii="方正小标宋简体" w:hAnsi="方正小标宋简体" w:eastAsia="方正小标宋简体" w:cs="方正小标宋简体"/>
          <w:sz w:val="44"/>
          <w:lang w:val="en-US" w:eastAsia="zh-CN"/>
        </w:rPr>
        <w:t>2</w:t>
      </w:r>
      <w:r>
        <w:rPr>
          <w:rFonts w:hint="eastAsia" w:ascii="方正小标宋简体" w:hAnsi="方正小标宋简体" w:eastAsia="方正小标宋简体" w:cs="方正小标宋简体"/>
          <w:sz w:val="44"/>
        </w:rPr>
        <w:t>年度行政许可</w:t>
      </w:r>
    </w:p>
    <w:p>
      <w:pPr>
        <w:keepNext w:val="0"/>
        <w:keepLines w:val="0"/>
        <w:pageBreakBefore w:val="0"/>
        <w:widowControl/>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实施和监督管理情况报告</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FangSong_GB2312" w:hAnsi="FangSong_GB2312" w:eastAsia="FangSong_GB2312"/>
          <w:sz w:val="32"/>
        </w:rPr>
      </w:pP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根据《广东省行政许可监督管理条例》的要求，现将我单位202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 xml:space="preserve"> 年行政许可实施和监督管理情况报告如下：</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黑体" w:hAnsi="黑体" w:eastAsia="黑体"/>
          <w:sz w:val="32"/>
        </w:rPr>
      </w:pPr>
      <w:r>
        <w:rPr>
          <w:rFonts w:hint="eastAsia" w:ascii="黑体" w:hAnsi="黑体" w:eastAsia="黑体"/>
          <w:sz w:val="32"/>
        </w:rPr>
        <w:t>一、基本情况</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default" w:ascii="仿宋_GB2312" w:hAnsi="仿宋_GB2312" w:eastAsia="仿宋_GB2312" w:cs="仿宋_GB2312"/>
          <w:b w:val="0"/>
          <w:bCs w:val="0"/>
          <w:color w:val="auto"/>
          <w:sz w:val="32"/>
          <w:lang w:val="en-US" w:eastAsia="zh-CN"/>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 xml:space="preserve"> 年，我局有行政许可事项1 项，即“中介机构从事代理记账业务审批”事项</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本事项根据相关规定和要求已进驻广东省政务服务事项管理系统</w:t>
      </w:r>
      <w:r>
        <w:rPr>
          <w:rFonts w:hint="eastAsia" w:ascii="仿宋_GB2312" w:hAnsi="仿宋_GB2312" w:eastAsia="仿宋_GB2312" w:cs="仿宋_GB2312"/>
          <w:sz w:val="32"/>
          <w:lang w:eastAsia="zh-CN"/>
        </w:rPr>
        <w:t>。</w:t>
      </w:r>
      <w:r>
        <w:rPr>
          <w:rFonts w:hint="eastAsia" w:ascii="仿宋_GB2312" w:hAnsi="仿宋_GB2312" w:eastAsia="仿宋_GB2312" w:cs="仿宋_GB2312"/>
          <w:b w:val="0"/>
          <w:bCs w:val="0"/>
          <w:color w:val="auto"/>
          <w:sz w:val="32"/>
        </w:rPr>
        <w:t>据统计，我局20</w:t>
      </w:r>
      <w:r>
        <w:rPr>
          <w:rFonts w:hint="eastAsia" w:ascii="仿宋_GB2312" w:hAnsi="仿宋_GB2312" w:eastAsia="仿宋_GB2312" w:cs="仿宋_GB2312"/>
          <w:b w:val="0"/>
          <w:bCs w:val="0"/>
          <w:color w:val="auto"/>
          <w:sz w:val="32"/>
          <w:lang w:val="en-US" w:eastAsia="zh-CN"/>
        </w:rPr>
        <w:t>22</w:t>
      </w:r>
      <w:r>
        <w:rPr>
          <w:rFonts w:hint="eastAsia" w:ascii="仿宋_GB2312" w:hAnsi="仿宋_GB2312" w:eastAsia="仿宋_GB2312" w:cs="仿宋_GB2312"/>
          <w:b w:val="0"/>
          <w:bCs w:val="0"/>
          <w:color w:val="auto"/>
          <w:sz w:val="32"/>
        </w:rPr>
        <w:t xml:space="preserve"> 年度收到“中介机构从事代理记账业务审批”事项申请</w:t>
      </w:r>
      <w:r>
        <w:rPr>
          <w:rFonts w:hint="eastAsia" w:ascii="仿宋_GB2312" w:hAnsi="仿宋_GB2312" w:eastAsia="仿宋_GB2312" w:cs="仿宋_GB2312"/>
          <w:b w:val="0"/>
          <w:bCs w:val="0"/>
          <w:color w:val="auto"/>
          <w:sz w:val="32"/>
          <w:lang w:val="en-US" w:eastAsia="zh-CN"/>
        </w:rPr>
        <w:t>30</w:t>
      </w:r>
      <w:r>
        <w:rPr>
          <w:rFonts w:hint="eastAsia" w:ascii="仿宋_GB2312" w:hAnsi="仿宋_GB2312" w:eastAsia="仿宋_GB2312" w:cs="仿宋_GB2312"/>
          <w:b w:val="0"/>
          <w:bCs w:val="0"/>
          <w:color w:val="auto"/>
          <w:sz w:val="32"/>
        </w:rPr>
        <w:t xml:space="preserve"> 单，其中受理</w:t>
      </w:r>
      <w:r>
        <w:rPr>
          <w:rFonts w:hint="eastAsia" w:ascii="仿宋_GB2312" w:hAnsi="仿宋_GB2312" w:eastAsia="仿宋_GB2312" w:cs="仿宋_GB2312"/>
          <w:b w:val="0"/>
          <w:bCs w:val="0"/>
          <w:color w:val="auto"/>
          <w:sz w:val="32"/>
          <w:lang w:val="en-US" w:eastAsia="zh-CN"/>
        </w:rPr>
        <w:t>30</w:t>
      </w:r>
      <w:r>
        <w:rPr>
          <w:rFonts w:hint="eastAsia" w:ascii="仿宋_GB2312" w:hAnsi="仿宋_GB2312" w:eastAsia="仿宋_GB2312" w:cs="仿宋_GB2312"/>
          <w:b w:val="0"/>
          <w:bCs w:val="0"/>
          <w:color w:val="auto"/>
          <w:sz w:val="32"/>
        </w:rPr>
        <w:t xml:space="preserve"> 单、不受理0 单；办结</w:t>
      </w:r>
      <w:r>
        <w:rPr>
          <w:rFonts w:hint="eastAsia" w:ascii="仿宋_GB2312" w:hAnsi="仿宋_GB2312" w:eastAsia="仿宋_GB2312" w:cs="仿宋_GB2312"/>
          <w:b w:val="0"/>
          <w:bCs w:val="0"/>
          <w:color w:val="auto"/>
          <w:sz w:val="32"/>
          <w:lang w:val="en-US" w:eastAsia="zh-CN"/>
        </w:rPr>
        <w:t>30</w:t>
      </w:r>
      <w:r>
        <w:rPr>
          <w:rFonts w:hint="eastAsia" w:ascii="仿宋_GB2312" w:hAnsi="仿宋_GB2312" w:eastAsia="仿宋_GB2312" w:cs="仿宋_GB2312"/>
          <w:b w:val="0"/>
          <w:bCs w:val="0"/>
          <w:color w:val="auto"/>
          <w:sz w:val="32"/>
        </w:rPr>
        <w:t xml:space="preserve"> 单，其中审批同意</w:t>
      </w:r>
      <w:r>
        <w:rPr>
          <w:rFonts w:hint="eastAsia" w:ascii="仿宋_GB2312" w:hAnsi="仿宋_GB2312" w:eastAsia="仿宋_GB2312" w:cs="仿宋_GB2312"/>
          <w:b w:val="0"/>
          <w:bCs w:val="0"/>
          <w:color w:val="auto"/>
          <w:sz w:val="32"/>
          <w:lang w:val="en-US" w:eastAsia="zh-CN"/>
        </w:rPr>
        <w:t>30</w:t>
      </w:r>
      <w:r>
        <w:rPr>
          <w:rFonts w:hint="eastAsia" w:ascii="仿宋_GB2312" w:hAnsi="仿宋_GB2312" w:eastAsia="仿宋_GB2312" w:cs="仿宋_GB2312"/>
          <w:b w:val="0"/>
          <w:bCs w:val="0"/>
          <w:color w:val="auto"/>
          <w:sz w:val="32"/>
        </w:rPr>
        <w:t>单、审批不同意0 单</w:t>
      </w:r>
      <w:r>
        <w:rPr>
          <w:rFonts w:hint="eastAsia" w:ascii="仿宋_GB2312" w:hAnsi="仿宋_GB2312" w:eastAsia="仿宋_GB2312" w:cs="仿宋_GB2312"/>
          <w:b w:val="0"/>
          <w:bCs w:val="0"/>
          <w:color w:val="auto"/>
          <w:sz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sz w:val="32"/>
        </w:rPr>
        <w:t>依法实施情况。我局在执行代理记账机构审批事项的过程中，严格遵守《代理记账管理办法》</w:t>
      </w:r>
      <w:r>
        <w:rPr>
          <w:rFonts w:hint="eastAsia" w:ascii="仿宋_GB2312" w:hAnsi="仿宋_GB2312" w:eastAsia="仿宋_GB2312" w:cs="仿宋_GB2312"/>
          <w:sz w:val="32"/>
          <w:lang w:eastAsia="zh-CN"/>
        </w:rPr>
        <w:t>（财政部令第</w:t>
      </w:r>
      <w:r>
        <w:rPr>
          <w:rFonts w:hint="eastAsia" w:ascii="仿宋_GB2312" w:hAnsi="仿宋_GB2312" w:eastAsia="仿宋_GB2312" w:cs="仿宋_GB2312"/>
          <w:sz w:val="32"/>
          <w:lang w:val="en-US" w:eastAsia="zh-CN"/>
        </w:rPr>
        <w:t>98号</w:t>
      </w:r>
      <w:r>
        <w:rPr>
          <w:rFonts w:hint="eastAsia" w:ascii="仿宋_GB2312" w:hAnsi="仿宋_GB2312" w:eastAsia="仿宋_GB2312" w:cs="仿宋_GB2312"/>
          <w:sz w:val="32"/>
          <w:lang w:eastAsia="zh-CN"/>
        </w:rPr>
        <w:t>）、《广东省财政厅转发财政部办公厅关于深化代理记账行业“证照分离”改革进一步激发市场主体发展活力的通知》（粤财会〔</w:t>
      </w:r>
      <w:r>
        <w:rPr>
          <w:rFonts w:hint="eastAsia" w:ascii="仿宋_GB2312" w:hAnsi="仿宋_GB2312" w:eastAsia="仿宋_GB2312" w:cs="仿宋_GB2312"/>
          <w:sz w:val="32"/>
          <w:lang w:val="en-US" w:eastAsia="zh-CN"/>
        </w:rPr>
        <w:t>2021</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6号</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等有关规定，按照审批权限、范围、程序和条件办理</w:t>
      </w:r>
      <w:r>
        <w:rPr>
          <w:rFonts w:hint="eastAsia" w:ascii="仿宋_GB2312" w:hAnsi="仿宋_GB2312" w:eastAsia="仿宋_GB2312" w:cs="仿宋_GB2312"/>
          <w:b w:val="0"/>
          <w:bCs w:val="0"/>
          <w:color w:val="auto"/>
          <w:sz w:val="32"/>
        </w:rPr>
        <w:t>“中介机构从事代理记账业务审批”</w:t>
      </w:r>
      <w:r>
        <w:rPr>
          <w:rFonts w:hint="eastAsia" w:ascii="仿宋_GB2312" w:hAnsi="仿宋_GB2312" w:eastAsia="仿宋_GB2312" w:cs="仿宋_GB2312"/>
          <w:sz w:val="32"/>
        </w:rPr>
        <w:t>事项</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不存在变相设定和实施行政许可的情况</w:t>
      </w:r>
      <w:r>
        <w:rPr>
          <w:rFonts w:hint="eastAsia" w:ascii="仿宋_GB2312" w:hAnsi="仿宋_GB2312" w:eastAsia="仿宋_GB2312" w:cs="仿宋_GB2312"/>
          <w:sz w:val="32"/>
          <w:lang w:eastAsia="zh-CN"/>
        </w:rPr>
        <w:t>。</w:t>
      </w:r>
      <w:r>
        <w:rPr>
          <w:rFonts w:hint="eastAsia" w:ascii="仿宋_GB2312" w:hAnsi="仿宋_GB2312" w:eastAsia="仿宋_GB2312" w:cs="仿宋_GB2312"/>
          <w:color w:val="auto"/>
          <w:sz w:val="32"/>
          <w:lang w:eastAsia="zh-CN"/>
        </w:rPr>
        <w:t>申请材料齐全、符合法定形式的，在</w:t>
      </w:r>
      <w:r>
        <w:rPr>
          <w:rFonts w:hint="eastAsia" w:ascii="仿宋_GB2312" w:hAnsi="仿宋_GB2312" w:eastAsia="仿宋_GB2312" w:cs="仿宋_GB2312"/>
          <w:color w:val="auto"/>
          <w:sz w:val="32"/>
          <w:lang w:val="en-US" w:eastAsia="zh-CN"/>
        </w:rPr>
        <w:t>5个工作日内颁发代理记账执业证书。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（二）公开公示情况。我局已在广东省政务服务事项管理系统和海珠区公众信息网等公开网站公示</w:t>
      </w:r>
      <w:r>
        <w:rPr>
          <w:rFonts w:hint="eastAsia" w:ascii="仿宋_GB2312" w:hAnsi="仿宋_GB2312" w:eastAsia="仿宋_GB2312" w:cs="仿宋_GB2312"/>
          <w:b w:val="0"/>
          <w:bCs w:val="0"/>
          <w:color w:val="auto"/>
          <w:sz w:val="32"/>
        </w:rPr>
        <w:t>“中介机构从事代理记账业务审批”</w:t>
      </w:r>
      <w:r>
        <w:rPr>
          <w:rFonts w:hint="eastAsia" w:ascii="仿宋_GB2312" w:hAnsi="仿宋_GB2312" w:eastAsia="仿宋_GB2312" w:cs="仿宋_GB2312"/>
          <w:sz w:val="32"/>
        </w:rPr>
        <w:t>事项的</w:t>
      </w:r>
      <w:r>
        <w:rPr>
          <w:rFonts w:hint="eastAsia" w:ascii="仿宋_GB2312" w:hAnsi="仿宋_GB2312" w:eastAsia="仿宋_GB2312" w:cs="仿宋_GB2312"/>
          <w:sz w:val="32"/>
          <w:lang w:eastAsia="zh-CN"/>
        </w:rPr>
        <w:t>相关办理</w:t>
      </w:r>
      <w:r>
        <w:rPr>
          <w:rFonts w:hint="eastAsia" w:ascii="仿宋_GB2312" w:hAnsi="仿宋_GB2312" w:eastAsia="仿宋_GB2312" w:cs="仿宋_GB2312"/>
          <w:sz w:val="32"/>
        </w:rPr>
        <w:t>信息，并向社会公开行政许可</w:t>
      </w:r>
      <w:r>
        <w:rPr>
          <w:rFonts w:hint="eastAsia" w:ascii="仿宋_GB2312" w:hAnsi="仿宋_GB2312" w:eastAsia="仿宋_GB2312" w:cs="仿宋_GB2312"/>
          <w:sz w:val="32"/>
          <w:lang w:eastAsia="zh-CN"/>
        </w:rPr>
        <w:t>批复情况，接受公示</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（三）监督管理情况。</w:t>
      </w:r>
      <w:r>
        <w:rPr>
          <w:rFonts w:hint="eastAsia" w:ascii="仿宋_GB2312" w:hAnsi="仿宋_GB2312" w:eastAsia="仿宋_GB2312" w:cs="仿宋_GB2312"/>
          <w:sz w:val="32"/>
          <w:lang w:eastAsia="zh-CN"/>
        </w:rPr>
        <w:t>按照</w:t>
      </w:r>
      <w:r>
        <w:rPr>
          <w:rFonts w:hint="eastAsia" w:ascii="仿宋_GB2312" w:hAnsi="仿宋_GB2312" w:eastAsia="仿宋_GB2312" w:cs="仿宋_GB2312"/>
          <w:sz w:val="32"/>
        </w:rPr>
        <w:t>《代理记账管理办法》</w:t>
      </w:r>
      <w:r>
        <w:rPr>
          <w:rFonts w:hint="eastAsia" w:ascii="仿宋_GB2312" w:hAnsi="仿宋_GB2312" w:eastAsia="仿宋_GB2312" w:cs="仿宋_GB2312"/>
          <w:sz w:val="32"/>
          <w:lang w:eastAsia="zh-CN"/>
        </w:rPr>
        <w:t>（财政部令第</w:t>
      </w:r>
      <w:r>
        <w:rPr>
          <w:rFonts w:hint="eastAsia" w:ascii="仿宋_GB2312" w:hAnsi="仿宋_GB2312" w:eastAsia="仿宋_GB2312" w:cs="仿宋_GB2312"/>
          <w:sz w:val="32"/>
          <w:lang w:val="en-US" w:eastAsia="zh-CN"/>
        </w:rPr>
        <w:t>98号</w:t>
      </w:r>
      <w:r>
        <w:rPr>
          <w:rFonts w:hint="eastAsia" w:ascii="仿宋_GB2312" w:hAnsi="仿宋_GB2312" w:eastAsia="仿宋_GB2312" w:cs="仿宋_GB2312"/>
          <w:sz w:val="32"/>
          <w:lang w:eastAsia="zh-CN"/>
        </w:rPr>
        <w:t>）的规定，我局认真组织代理记账机构按时完成网上年度备案工作，加强对备案信息真实性、规范性、完整性的审核，对未按要求及时进行备案、备案材料不符合要求、以及未能持续符合代理记账资格条件的，按照有关规定进行处理。并及时将本辖区内已取得行政许可且按期完成年度报备的代理记账机构名单在海珠公众信息网上公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（四）实施效果情况。为深化代理记账行业“放管服”改革，持续转变政府职能</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优化营商环境</w:t>
      </w:r>
      <w:r>
        <w:rPr>
          <w:rFonts w:hint="eastAsia" w:ascii="仿宋_GB2312" w:hAnsi="仿宋_GB2312" w:eastAsia="仿宋_GB2312" w:cs="仿宋_GB2312"/>
          <w:sz w:val="32"/>
          <w:lang w:eastAsia="zh-CN"/>
        </w:rPr>
        <w:t>，我局积极利用各类政务服务平台，开展政策宣传、结果公示，让具备从事代理记账申请资格条件的企业及时办理许可申请，引导相关企业主体及时办理行政许可，规范代理记账行为。</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黑体" w:hAnsi="黑体" w:eastAsia="黑体"/>
          <w:sz w:val="32"/>
          <w:szCs w:val="22"/>
          <w:lang w:eastAsia="zh-CN"/>
        </w:rPr>
      </w:pPr>
      <w:r>
        <w:rPr>
          <w:rFonts w:hint="eastAsia" w:ascii="黑体" w:hAnsi="黑体" w:eastAsia="黑体"/>
          <w:sz w:val="32"/>
          <w:szCs w:val="22"/>
          <w:lang w:eastAsia="zh-CN"/>
        </w:rPr>
        <w:t>二、下一步工作措施</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大力宣传代理记账的积极意义和重要作用，进一步突出代理记账的法律地位，增强中小微企业对代理记账的认识。同时，积极开展“双随机，一公开”检查，持续加强年度备案管理，充分引导行业协会发挥行业自律功能，进一步激发记账行业市场主体发展活力。</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lang w:eastAsia="zh-CN"/>
        </w:rPr>
      </w:pP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FangSong_GB2312" w:hAnsi="FangSong_GB2312" w:eastAsia="FangSong_GB2312"/>
          <w:sz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Lines="0" w:afterLines="0" w:line="580" w:lineRule="exact"/>
        <w:ind w:firstLine="5440" w:firstLineChars="1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广州市海珠区财政局</w:t>
      </w:r>
    </w:p>
    <w:p>
      <w:pPr>
        <w:keepNext w:val="0"/>
        <w:keepLines w:val="0"/>
        <w:pageBreakBefore w:val="0"/>
        <w:widowControl/>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5760" w:firstLineChars="1800"/>
        <w:textAlignment w:val="auto"/>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B9FBFA"/>
    <w:multiLevelType w:val="singleLevel"/>
    <w:tmpl w:val="C4B9FB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6C4C56"/>
    <w:rsid w:val="245F4994"/>
    <w:rsid w:val="378D6580"/>
    <w:rsid w:val="3BA74C4B"/>
    <w:rsid w:val="415A7FF5"/>
    <w:rsid w:val="4C6F21FA"/>
    <w:rsid w:val="53586C0E"/>
    <w:rsid w:val="5457280F"/>
    <w:rsid w:val="5902521F"/>
    <w:rsid w:val="6E8419C7"/>
    <w:rsid w:val="773817E3"/>
    <w:rsid w:val="7DF5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区财政局</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2022-05-16T01:50:00Z</dcterms:created>
  <dc:creator>hp</dc:creator>
  <cp:lastModifiedBy>区财政局文件收发员</cp:lastModifiedBy>
  <dcterms:modified xsi:type="dcterms:W3CDTF">2023-04-10T02:01:31Z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F6FFC4303312440194B748258CDC847C</vt:lpwstr>
  </property>
</Properties>
</file>