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r>
        <w:rPr>
          <w:rFonts w:hint="eastAsia" w:ascii="宋体" w:hAnsi="宋体" w:cs="宋体"/>
          <w:sz w:val="44"/>
          <w:szCs w:val="44"/>
        </w:rPr>
        <w:t>项目报价响应表</w:t>
      </w:r>
    </w:p>
    <w:p>
      <w:pPr>
        <w:spacing w:after="100" w:afterAutospacing="1"/>
        <w:jc w:val="center"/>
        <w:rPr>
          <w:rFonts w:ascii="宋体" w:hAnsi="宋体" w:cs="宋体"/>
          <w:b/>
          <w:sz w:val="28"/>
          <w:szCs w:val="28"/>
        </w:rPr>
      </w:pPr>
      <w:r>
        <w:rPr>
          <w:rFonts w:hint="eastAsia" w:ascii="宋体" w:hAnsi="宋体" w:cs="宋体"/>
          <w:b/>
          <w:sz w:val="28"/>
          <w:szCs w:val="28"/>
        </w:rPr>
        <w:t>（报价响应表要求加盖报价供应商单位公章）</w:t>
      </w:r>
    </w:p>
    <w:tbl>
      <w:tblPr>
        <w:tblStyle w:val="7"/>
        <w:tblW w:w="1555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76"/>
        <w:gridCol w:w="1209"/>
        <w:gridCol w:w="6083"/>
        <w:gridCol w:w="6106"/>
        <w:gridCol w:w="15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atLeast"/>
          <w:jc w:val="center"/>
        </w:trPr>
        <w:tc>
          <w:tcPr>
            <w:tcW w:w="1785" w:type="dxa"/>
            <w:gridSpan w:val="2"/>
            <w:vAlign w:val="center"/>
          </w:tcPr>
          <w:p>
            <w:pPr>
              <w:widowControl/>
              <w:jc w:val="center"/>
              <w:rPr>
                <w:rFonts w:ascii="宋体" w:hAnsi="宋体" w:cs="宋体"/>
                <w:b/>
                <w:color w:val="auto"/>
                <w:kern w:val="0"/>
                <w:sz w:val="24"/>
              </w:rPr>
            </w:pPr>
            <w:r>
              <w:rPr>
                <w:rFonts w:hint="eastAsia" w:ascii="宋体" w:hAnsi="宋体" w:cs="宋体"/>
                <w:b/>
                <w:color w:val="auto"/>
                <w:kern w:val="0"/>
                <w:sz w:val="24"/>
              </w:rPr>
              <w:t>项目名称</w:t>
            </w:r>
          </w:p>
        </w:tc>
        <w:tc>
          <w:tcPr>
            <w:tcW w:w="13766" w:type="dxa"/>
            <w:gridSpan w:val="3"/>
            <w:vAlign w:val="bottom"/>
          </w:tcPr>
          <w:p>
            <w:pPr>
              <w:widowControl/>
              <w:jc w:val="left"/>
              <w:rPr>
                <w:rFonts w:ascii="宋体" w:hAnsi="宋体" w:cs="宋体"/>
                <w:color w:val="auto"/>
                <w:kern w:val="0"/>
                <w:sz w:val="24"/>
              </w:rPr>
            </w:pPr>
            <w:r>
              <w:rPr>
                <w:rFonts w:hint="eastAsia"/>
                <w:b/>
                <w:bCs/>
                <w:color w:val="auto"/>
                <w:szCs w:val="21"/>
              </w:rPr>
              <w:t>广州市海珠区图书馆图书物流项目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1" w:hRule="atLeast"/>
          <w:jc w:val="center"/>
        </w:trPr>
        <w:tc>
          <w:tcPr>
            <w:tcW w:w="1785" w:type="dxa"/>
            <w:gridSpan w:val="2"/>
            <w:vAlign w:val="center"/>
          </w:tcPr>
          <w:p>
            <w:pPr>
              <w:widowControl/>
              <w:jc w:val="center"/>
              <w:rPr>
                <w:rFonts w:ascii="宋体" w:hAnsi="宋体" w:cs="宋体"/>
                <w:b/>
                <w:color w:val="auto"/>
                <w:kern w:val="0"/>
                <w:sz w:val="24"/>
              </w:rPr>
            </w:pPr>
            <w:r>
              <w:rPr>
                <w:rFonts w:hint="eastAsia" w:ascii="宋体" w:hAnsi="宋体" w:cs="宋体"/>
                <w:b/>
                <w:color w:val="auto"/>
                <w:kern w:val="0"/>
                <w:sz w:val="24"/>
              </w:rPr>
              <w:t>招标单位</w:t>
            </w:r>
          </w:p>
        </w:tc>
        <w:tc>
          <w:tcPr>
            <w:tcW w:w="13766" w:type="dxa"/>
            <w:gridSpan w:val="3"/>
            <w:vAlign w:val="bottom"/>
          </w:tcPr>
          <w:p>
            <w:pPr>
              <w:widowControl/>
              <w:jc w:val="left"/>
              <w:rPr>
                <w:rFonts w:ascii="宋体" w:hAnsi="宋体" w:cs="宋体"/>
                <w:color w:val="auto"/>
                <w:kern w:val="0"/>
                <w:sz w:val="24"/>
              </w:rPr>
            </w:pPr>
            <w:r>
              <w:rPr>
                <w:rFonts w:hint="eastAsia"/>
                <w:b/>
                <w:bCs/>
                <w:color w:val="auto"/>
                <w:szCs w:val="21"/>
              </w:rPr>
              <w:t>广州市海珠区图书馆</w:t>
            </w:r>
            <w:r>
              <w:rPr>
                <w:rFonts w:hint="eastAsia" w:ascii="宋体" w:hAnsi="宋体" w:cs="宋体"/>
                <w:color w:val="auto"/>
                <w:kern w:val="0"/>
                <w:sz w:val="24"/>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7" w:hRule="atLeast"/>
          <w:jc w:val="center"/>
        </w:trPr>
        <w:tc>
          <w:tcPr>
            <w:tcW w:w="1785" w:type="dxa"/>
            <w:gridSpan w:val="2"/>
            <w:vAlign w:val="center"/>
          </w:tcPr>
          <w:p>
            <w:pPr>
              <w:widowControl/>
              <w:jc w:val="center"/>
              <w:rPr>
                <w:rFonts w:ascii="宋体" w:hAnsi="宋体" w:cs="宋体"/>
                <w:b/>
                <w:color w:val="auto"/>
                <w:kern w:val="0"/>
                <w:sz w:val="24"/>
              </w:rPr>
            </w:pPr>
            <w:r>
              <w:rPr>
                <w:rFonts w:hint="eastAsia" w:ascii="宋体" w:hAnsi="宋体" w:cs="宋体"/>
                <w:b/>
                <w:color w:val="auto"/>
                <w:kern w:val="0"/>
                <w:sz w:val="24"/>
              </w:rPr>
              <w:t>报价供应商</w:t>
            </w:r>
          </w:p>
        </w:tc>
        <w:tc>
          <w:tcPr>
            <w:tcW w:w="13766" w:type="dxa"/>
            <w:gridSpan w:val="3"/>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07" w:hRule="atLeast"/>
          <w:jc w:val="center"/>
        </w:trPr>
        <w:tc>
          <w:tcPr>
            <w:tcW w:w="15551" w:type="dxa"/>
            <w:gridSpan w:val="5"/>
            <w:vAlign w:val="center"/>
          </w:tcPr>
          <w:p>
            <w:pPr>
              <w:widowControl/>
              <w:jc w:val="center"/>
              <w:rPr>
                <w:rFonts w:ascii="宋体" w:hAnsi="宋体" w:cs="宋体"/>
                <w:color w:val="auto"/>
                <w:kern w:val="0"/>
                <w:sz w:val="28"/>
                <w:szCs w:val="28"/>
              </w:rPr>
            </w:pPr>
            <w:r>
              <w:rPr>
                <w:rFonts w:hint="eastAsia" w:ascii="宋体" w:hAnsi="宋体" w:cs="宋体"/>
                <w:color w:val="auto"/>
                <w:kern w:val="0"/>
                <w:sz w:val="28"/>
                <w:szCs w:val="28"/>
              </w:rPr>
              <w:t>供应商承诺</w:t>
            </w:r>
          </w:p>
          <w:p>
            <w:pPr>
              <w:widowControl/>
              <w:ind w:firstLine="480" w:firstLineChars="200"/>
              <w:rPr>
                <w:rFonts w:ascii="宋体" w:hAnsi="宋体" w:cs="宋体"/>
                <w:color w:val="auto"/>
                <w:kern w:val="0"/>
                <w:sz w:val="24"/>
              </w:rPr>
            </w:pPr>
            <w:r>
              <w:rPr>
                <w:rFonts w:hint="eastAsia" w:ascii="宋体" w:hAnsi="宋体" w:cs="宋体"/>
                <w:color w:val="auto"/>
                <w:kern w:val="0"/>
                <w:sz w:val="24"/>
              </w:rPr>
              <w:t>我公司承诺投标所响应产品（服务）真实有效且能满足招标需求，如经其品牌官方渠道（包括生产商在其网上公布的产品参数）核实所响应产品（服务）不满足招标需求，视为虚假响应，自愿承担相关责任，并按无效投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6" w:hRule="atLeast"/>
          <w:jc w:val="center"/>
        </w:trPr>
        <w:tc>
          <w:tcPr>
            <w:tcW w:w="576" w:type="dxa"/>
            <w:vMerge w:val="restart"/>
            <w:vAlign w:val="center"/>
          </w:tcPr>
          <w:p>
            <w:pPr>
              <w:widowControl/>
              <w:jc w:val="center"/>
              <w:rPr>
                <w:rFonts w:ascii="宋体" w:hAnsi="宋体" w:cs="宋体"/>
                <w:b/>
                <w:color w:val="auto"/>
                <w:kern w:val="0"/>
                <w:sz w:val="24"/>
              </w:rPr>
            </w:pPr>
            <w:r>
              <w:rPr>
                <w:rFonts w:hint="eastAsia" w:ascii="宋体" w:hAnsi="宋体" w:cs="宋体"/>
                <w:b/>
                <w:color w:val="auto"/>
                <w:kern w:val="0"/>
                <w:sz w:val="24"/>
              </w:rPr>
              <w:t>序号</w:t>
            </w:r>
          </w:p>
        </w:tc>
        <w:tc>
          <w:tcPr>
            <w:tcW w:w="1209" w:type="dxa"/>
            <w:vMerge w:val="restart"/>
            <w:vAlign w:val="center"/>
          </w:tcPr>
          <w:p>
            <w:pPr>
              <w:widowControl/>
              <w:jc w:val="center"/>
              <w:rPr>
                <w:rFonts w:ascii="宋体" w:hAnsi="宋体" w:cs="宋体"/>
                <w:b/>
                <w:color w:val="auto"/>
                <w:kern w:val="0"/>
                <w:sz w:val="24"/>
              </w:rPr>
            </w:pPr>
            <w:r>
              <w:rPr>
                <w:rFonts w:hint="eastAsia" w:ascii="宋体" w:hAnsi="宋体" w:cs="宋体"/>
                <w:b/>
                <w:color w:val="auto"/>
                <w:kern w:val="0"/>
                <w:sz w:val="24"/>
              </w:rPr>
              <w:t>项目名称</w:t>
            </w:r>
          </w:p>
        </w:tc>
        <w:tc>
          <w:tcPr>
            <w:tcW w:w="6083" w:type="dxa"/>
            <w:vAlign w:val="center"/>
          </w:tcPr>
          <w:p>
            <w:pPr>
              <w:widowControl/>
              <w:jc w:val="center"/>
              <w:rPr>
                <w:rFonts w:ascii="宋体" w:hAnsi="宋体" w:cs="宋体"/>
                <w:b/>
                <w:color w:val="auto"/>
                <w:kern w:val="0"/>
                <w:sz w:val="24"/>
              </w:rPr>
            </w:pPr>
            <w:r>
              <w:rPr>
                <w:rFonts w:hint="eastAsia" w:ascii="宋体" w:hAnsi="宋体" w:cs="宋体"/>
                <w:b/>
                <w:color w:val="auto"/>
                <w:kern w:val="0"/>
                <w:sz w:val="24"/>
              </w:rPr>
              <w:t>招标需求</w:t>
            </w:r>
          </w:p>
        </w:tc>
        <w:tc>
          <w:tcPr>
            <w:tcW w:w="6106" w:type="dxa"/>
            <w:vAlign w:val="center"/>
          </w:tcPr>
          <w:p>
            <w:pPr>
              <w:jc w:val="center"/>
              <w:rPr>
                <w:rFonts w:ascii="宋体" w:hAnsi="宋体" w:cs="宋体"/>
                <w:color w:val="auto"/>
                <w:kern w:val="0"/>
                <w:sz w:val="24"/>
              </w:rPr>
            </w:pPr>
            <w:r>
              <w:rPr>
                <w:rFonts w:hint="eastAsia" w:ascii="宋体" w:hAnsi="宋体" w:cs="宋体"/>
                <w:b/>
                <w:color w:val="auto"/>
                <w:kern w:val="0"/>
                <w:sz w:val="24"/>
              </w:rPr>
              <w:t>响应内容</w:t>
            </w:r>
          </w:p>
        </w:tc>
        <w:tc>
          <w:tcPr>
            <w:tcW w:w="1577" w:type="dxa"/>
            <w:vAlign w:val="center"/>
          </w:tcPr>
          <w:p>
            <w:pPr>
              <w:jc w:val="center"/>
              <w:rPr>
                <w:rFonts w:ascii="宋体" w:hAnsi="宋体" w:cs="宋体"/>
                <w:color w:val="auto"/>
                <w:kern w:val="0"/>
                <w:sz w:val="24"/>
              </w:rPr>
            </w:pPr>
            <w:r>
              <w:rPr>
                <w:rFonts w:hint="eastAsia" w:ascii="宋体" w:hAnsi="宋体" w:cs="宋体"/>
                <w:b/>
                <w:color w:val="auto"/>
                <w:kern w:val="0"/>
                <w:sz w:val="24"/>
              </w:rPr>
              <w:t>响应偏离情况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79" w:hRule="atLeast"/>
          <w:jc w:val="center"/>
        </w:trPr>
        <w:tc>
          <w:tcPr>
            <w:tcW w:w="576" w:type="dxa"/>
            <w:vMerge w:val="continue"/>
            <w:vAlign w:val="center"/>
          </w:tcPr>
          <w:p>
            <w:pPr>
              <w:widowControl/>
              <w:jc w:val="center"/>
              <w:rPr>
                <w:rFonts w:ascii="宋体" w:hAnsi="宋体" w:cs="宋体"/>
                <w:b/>
                <w:color w:val="auto"/>
                <w:kern w:val="0"/>
                <w:sz w:val="24"/>
              </w:rPr>
            </w:pPr>
          </w:p>
        </w:tc>
        <w:tc>
          <w:tcPr>
            <w:tcW w:w="1209" w:type="dxa"/>
            <w:vMerge w:val="continue"/>
            <w:vAlign w:val="center"/>
          </w:tcPr>
          <w:p>
            <w:pPr>
              <w:jc w:val="left"/>
              <w:rPr>
                <w:rFonts w:ascii="宋体" w:hAnsi="宋体" w:cs="宋体"/>
                <w:b/>
                <w:color w:val="auto"/>
                <w:kern w:val="0"/>
                <w:sz w:val="24"/>
              </w:rPr>
            </w:pPr>
          </w:p>
        </w:tc>
        <w:tc>
          <w:tcPr>
            <w:tcW w:w="6083" w:type="dxa"/>
            <w:vAlign w:val="center"/>
          </w:tcPr>
          <w:p>
            <w:pPr>
              <w:widowControl/>
              <w:rPr>
                <w:rFonts w:ascii="宋体" w:hAnsi="宋体" w:cs="宋体"/>
                <w:b/>
                <w:color w:val="auto"/>
                <w:kern w:val="0"/>
                <w:sz w:val="18"/>
                <w:szCs w:val="18"/>
              </w:rPr>
            </w:pPr>
            <w:r>
              <w:rPr>
                <w:rFonts w:hint="eastAsia" w:ascii="宋体" w:hAnsi="宋体" w:cs="宋体"/>
                <w:b/>
                <w:color w:val="auto"/>
                <w:kern w:val="0"/>
                <w:sz w:val="18"/>
                <w:szCs w:val="18"/>
              </w:rPr>
              <w:t>备注：</w:t>
            </w:r>
          </w:p>
          <w:p>
            <w:pPr>
              <w:rPr>
                <w:rFonts w:ascii="宋体" w:hAnsi="宋体" w:cs="宋体"/>
                <w:color w:val="auto"/>
                <w:kern w:val="0"/>
                <w:sz w:val="18"/>
                <w:szCs w:val="18"/>
              </w:rPr>
            </w:pPr>
            <w:r>
              <w:rPr>
                <w:rFonts w:hint="eastAsia" w:ascii="宋体" w:hAnsi="宋体" w:cs="宋体"/>
                <w:color w:val="auto"/>
                <w:kern w:val="0"/>
                <w:sz w:val="18"/>
                <w:szCs w:val="18"/>
              </w:rPr>
              <w:t>1.采购文件中的需求若有多个商品应逐一列出，禁止放到同一个需求框中。</w:t>
            </w:r>
          </w:p>
          <w:p>
            <w:pPr>
              <w:rPr>
                <w:rFonts w:ascii="宋体" w:hAnsi="宋体" w:cs="宋体"/>
                <w:b/>
                <w:color w:val="auto"/>
                <w:kern w:val="0"/>
                <w:sz w:val="24"/>
              </w:rPr>
            </w:pPr>
            <w:r>
              <w:rPr>
                <w:rFonts w:hint="eastAsia" w:ascii="宋体" w:hAnsi="宋体" w:cs="宋体"/>
                <w:color w:val="auto"/>
                <w:kern w:val="0"/>
                <w:sz w:val="18"/>
                <w:szCs w:val="18"/>
              </w:rPr>
              <w:t>2.禁止擅自修改、删减采购需求内容或调整采购需求具体内容的排序。</w:t>
            </w:r>
          </w:p>
        </w:tc>
        <w:tc>
          <w:tcPr>
            <w:tcW w:w="6106" w:type="dxa"/>
            <w:vAlign w:val="center"/>
          </w:tcPr>
          <w:p>
            <w:pPr>
              <w:widowControl/>
              <w:rPr>
                <w:rFonts w:ascii="宋体" w:hAnsi="宋体" w:cs="宋体"/>
                <w:b/>
                <w:color w:val="auto"/>
                <w:kern w:val="0"/>
                <w:sz w:val="18"/>
                <w:szCs w:val="18"/>
              </w:rPr>
            </w:pPr>
            <w:r>
              <w:rPr>
                <w:rFonts w:hint="eastAsia" w:ascii="宋体" w:hAnsi="宋体" w:cs="宋体"/>
                <w:b/>
                <w:color w:val="auto"/>
                <w:kern w:val="0"/>
                <w:sz w:val="18"/>
                <w:szCs w:val="18"/>
              </w:rPr>
              <w:t>备注：</w:t>
            </w:r>
          </w:p>
          <w:p>
            <w:pPr>
              <w:widowControl/>
              <w:rPr>
                <w:rFonts w:ascii="宋体" w:hAnsi="宋体" w:cs="宋体"/>
                <w:color w:val="auto"/>
                <w:kern w:val="0"/>
                <w:sz w:val="18"/>
                <w:szCs w:val="18"/>
              </w:rPr>
            </w:pPr>
            <w:r>
              <w:rPr>
                <w:rFonts w:hint="eastAsia" w:ascii="宋体" w:hAnsi="宋体" w:cs="宋体"/>
                <w:color w:val="auto"/>
                <w:kern w:val="0"/>
                <w:sz w:val="18"/>
                <w:szCs w:val="18"/>
              </w:rPr>
              <w:t>1.参数必须逐一列出，内容必须对应、完整、明确、无歧义。</w:t>
            </w:r>
          </w:p>
          <w:p>
            <w:pPr>
              <w:rPr>
                <w:rFonts w:ascii="宋体" w:hAnsi="宋体" w:cs="宋体"/>
                <w:color w:val="auto"/>
                <w:kern w:val="0"/>
                <w:sz w:val="18"/>
                <w:szCs w:val="18"/>
              </w:rPr>
            </w:pPr>
          </w:p>
        </w:tc>
        <w:tc>
          <w:tcPr>
            <w:tcW w:w="1577" w:type="dxa"/>
            <w:vAlign w:val="center"/>
          </w:tcPr>
          <w:p>
            <w:pPr>
              <w:widowControl/>
              <w:rPr>
                <w:rFonts w:ascii="宋体" w:hAnsi="宋体" w:cs="宋体"/>
                <w:b/>
                <w:color w:val="auto"/>
                <w:kern w:val="0"/>
                <w:sz w:val="18"/>
                <w:szCs w:val="18"/>
              </w:rPr>
            </w:pPr>
            <w:r>
              <w:rPr>
                <w:rFonts w:hint="eastAsia" w:ascii="宋体" w:hAnsi="宋体" w:cs="宋体"/>
                <w:b/>
                <w:color w:val="auto"/>
                <w:kern w:val="0"/>
                <w:sz w:val="18"/>
                <w:szCs w:val="18"/>
              </w:rPr>
              <w:t>备注：</w:t>
            </w:r>
          </w:p>
          <w:p>
            <w:pPr>
              <w:widowControl/>
              <w:rPr>
                <w:rFonts w:ascii="宋体" w:hAnsi="宋体" w:cs="宋体"/>
                <w:color w:val="auto"/>
                <w:kern w:val="0"/>
                <w:sz w:val="18"/>
                <w:szCs w:val="18"/>
              </w:rPr>
            </w:pPr>
            <w:r>
              <w:rPr>
                <w:rFonts w:hint="eastAsia" w:ascii="宋体" w:hAnsi="宋体" w:cs="宋体"/>
                <w:color w:val="auto"/>
                <w:kern w:val="0"/>
                <w:sz w:val="18"/>
                <w:szCs w:val="18"/>
              </w:rPr>
              <w:t>1.响应完全一致的，请在下面对应框中标明“完全响应”。</w:t>
            </w:r>
          </w:p>
          <w:p>
            <w:pPr>
              <w:widowControl/>
              <w:rPr>
                <w:rFonts w:ascii="宋体" w:hAnsi="宋体" w:cs="宋体"/>
                <w:color w:val="auto"/>
                <w:kern w:val="0"/>
                <w:sz w:val="18"/>
                <w:szCs w:val="18"/>
              </w:rPr>
            </w:pPr>
            <w:r>
              <w:rPr>
                <w:rFonts w:hint="eastAsia" w:ascii="宋体" w:hAnsi="宋体" w:cs="宋体"/>
                <w:color w:val="auto"/>
                <w:kern w:val="0"/>
                <w:sz w:val="18"/>
                <w:szCs w:val="18"/>
              </w:rPr>
              <w:t>2.出现负偏离的，该报价文件视为无效处理。</w:t>
            </w:r>
          </w:p>
          <w:p>
            <w:pPr>
              <w:rPr>
                <w:rFonts w:ascii="宋体" w:hAnsi="宋体" w:cs="宋体"/>
                <w:b/>
                <w:color w:val="auto"/>
                <w:kern w:val="0"/>
                <w:sz w:val="24"/>
              </w:rPr>
            </w:pPr>
            <w:r>
              <w:rPr>
                <w:rFonts w:hint="eastAsia" w:ascii="宋体" w:hAnsi="宋体" w:cs="宋体"/>
                <w:color w:val="auto"/>
                <w:kern w:val="0"/>
                <w:sz w:val="18"/>
                <w:szCs w:val="18"/>
              </w:rPr>
              <w:t>3.存在正偏离的，请列出内容。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89" w:hRule="atLeast"/>
          <w:jc w:val="center"/>
        </w:trPr>
        <w:tc>
          <w:tcPr>
            <w:tcW w:w="576" w:type="dxa"/>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1209" w:type="dxa"/>
            <w:vAlign w:val="center"/>
          </w:tcPr>
          <w:p>
            <w:pPr>
              <w:widowControl/>
              <w:jc w:val="center"/>
              <w:rPr>
                <w:rFonts w:ascii="宋体" w:hAnsi="宋体" w:cs="宋体"/>
                <w:color w:val="auto"/>
                <w:kern w:val="0"/>
                <w:sz w:val="24"/>
                <w:szCs w:val="24"/>
              </w:rPr>
            </w:pPr>
            <w:r>
              <w:rPr>
                <w:rFonts w:hint="eastAsia"/>
                <w:bCs/>
                <w:color w:val="auto"/>
                <w:sz w:val="24"/>
                <w:szCs w:val="24"/>
              </w:rPr>
              <w:t>广州市海珠区图书馆图书物流项目</w:t>
            </w:r>
          </w:p>
        </w:tc>
        <w:tc>
          <w:tcPr>
            <w:tcW w:w="6083" w:type="dxa"/>
            <w:vAlign w:val="center"/>
          </w:tcPr>
          <w:p>
            <w:pPr>
              <w:ind w:firstLine="360" w:firstLineChars="200"/>
              <w:rPr>
                <w:sz w:val="18"/>
                <w:szCs w:val="18"/>
              </w:rPr>
            </w:pPr>
            <w:r>
              <w:rPr>
                <w:rFonts w:hint="eastAsia"/>
                <w:sz w:val="18"/>
                <w:szCs w:val="18"/>
                <w:lang w:eastAsia="zh-CN"/>
              </w:rPr>
              <w:t>一、</w:t>
            </w:r>
            <w:r>
              <w:rPr>
                <w:rFonts w:hint="eastAsia"/>
                <w:sz w:val="18"/>
                <w:szCs w:val="18"/>
              </w:rPr>
              <w:t>招标需求：</w:t>
            </w:r>
          </w:p>
          <w:p>
            <w:pPr>
              <w:ind w:firstLine="360" w:firstLineChars="200"/>
              <w:rPr>
                <w:rFonts w:hint="eastAsia"/>
                <w:sz w:val="18"/>
                <w:szCs w:val="18"/>
              </w:rPr>
            </w:pPr>
            <w:r>
              <w:rPr>
                <w:rFonts w:hint="eastAsia"/>
                <w:sz w:val="18"/>
                <w:szCs w:val="18"/>
              </w:rPr>
              <w:t>项目购买服务内容包括</w:t>
            </w:r>
            <w:r>
              <w:rPr>
                <w:rFonts w:hint="eastAsia"/>
                <w:sz w:val="18"/>
                <w:szCs w:val="18"/>
                <w:lang w:eastAsia="zh-CN"/>
              </w:rPr>
              <w:t>总分馆图书物流服务、</w:t>
            </w:r>
            <w:r>
              <w:rPr>
                <w:rFonts w:hint="eastAsia"/>
                <w:sz w:val="18"/>
                <w:szCs w:val="18"/>
              </w:rPr>
              <w:t>流动图书车</w:t>
            </w:r>
            <w:r>
              <w:rPr>
                <w:rFonts w:hint="eastAsia"/>
                <w:sz w:val="18"/>
                <w:szCs w:val="18"/>
                <w:lang w:eastAsia="zh-CN"/>
              </w:rPr>
              <w:t>服务及校园活动展板配送三</w:t>
            </w:r>
            <w:r>
              <w:rPr>
                <w:rFonts w:hint="eastAsia"/>
                <w:sz w:val="18"/>
                <w:szCs w:val="18"/>
              </w:rPr>
              <w:t>大类，投标方需在服务期限内按实际需求完成</w:t>
            </w:r>
            <w:r>
              <w:rPr>
                <w:rFonts w:hint="eastAsia"/>
                <w:sz w:val="18"/>
                <w:szCs w:val="18"/>
                <w:lang w:val="en-US" w:eastAsia="zh-CN"/>
              </w:rPr>
              <w:t>约61</w:t>
            </w:r>
            <w:r>
              <w:rPr>
                <w:rFonts w:hint="eastAsia"/>
                <w:sz w:val="18"/>
                <w:szCs w:val="18"/>
              </w:rPr>
              <w:t>个分馆物流</w:t>
            </w:r>
            <w:r>
              <w:rPr>
                <w:rFonts w:hint="eastAsia"/>
                <w:sz w:val="18"/>
                <w:szCs w:val="18"/>
                <w:lang w:eastAsia="zh-CN"/>
              </w:rPr>
              <w:t>服务</w:t>
            </w:r>
            <w:r>
              <w:rPr>
                <w:rFonts w:hint="eastAsia"/>
                <w:sz w:val="18"/>
                <w:szCs w:val="18"/>
              </w:rPr>
              <w:t>配送</w:t>
            </w:r>
            <w:r>
              <w:rPr>
                <w:rFonts w:hint="eastAsia"/>
                <w:sz w:val="18"/>
                <w:szCs w:val="18"/>
                <w:lang w:val="en-US" w:eastAsia="zh-CN"/>
              </w:rPr>
              <w:t>395次</w:t>
            </w:r>
            <w:r>
              <w:rPr>
                <w:rFonts w:hint="eastAsia"/>
                <w:sz w:val="18"/>
                <w:szCs w:val="18"/>
              </w:rPr>
              <w:t>及流通维护工作，流动图书</w:t>
            </w:r>
            <w:r>
              <w:rPr>
                <w:rFonts w:hint="eastAsia"/>
                <w:sz w:val="18"/>
                <w:szCs w:val="18"/>
                <w:lang w:eastAsia="zh-CN"/>
              </w:rPr>
              <w:t>车服务</w:t>
            </w:r>
            <w:r>
              <w:rPr>
                <w:rFonts w:hint="eastAsia"/>
                <w:sz w:val="18"/>
                <w:szCs w:val="18"/>
              </w:rPr>
              <w:t>配送</w:t>
            </w:r>
            <w:r>
              <w:rPr>
                <w:rFonts w:hint="eastAsia"/>
                <w:sz w:val="18"/>
                <w:szCs w:val="18"/>
                <w:lang w:val="en-US" w:eastAsia="zh-CN"/>
              </w:rPr>
              <w:t>38次</w:t>
            </w:r>
            <w:r>
              <w:rPr>
                <w:rFonts w:hint="eastAsia"/>
                <w:sz w:val="18"/>
                <w:szCs w:val="18"/>
                <w:lang w:eastAsia="zh-CN"/>
              </w:rPr>
              <w:t>，以及校园活动展板配送</w:t>
            </w:r>
            <w:r>
              <w:rPr>
                <w:rFonts w:hint="eastAsia"/>
                <w:sz w:val="18"/>
                <w:szCs w:val="18"/>
                <w:lang w:val="en-US" w:eastAsia="zh-CN"/>
              </w:rPr>
              <w:t>12次</w:t>
            </w:r>
            <w:r>
              <w:rPr>
                <w:rFonts w:hint="eastAsia"/>
                <w:sz w:val="18"/>
                <w:szCs w:val="18"/>
              </w:rPr>
              <w:t>。投标方需提供车辆、人员和图书数据调入、打包等专业设备。</w:t>
            </w:r>
          </w:p>
          <w:p>
            <w:pPr>
              <w:ind w:firstLine="360" w:firstLineChars="200"/>
              <w:rPr>
                <w:rFonts w:hint="eastAsia"/>
                <w:sz w:val="18"/>
                <w:szCs w:val="18"/>
              </w:rPr>
            </w:pPr>
            <w:r>
              <w:rPr>
                <w:rFonts w:hint="eastAsia"/>
                <w:sz w:val="18"/>
                <w:szCs w:val="18"/>
                <w:lang w:eastAsia="zh-CN"/>
              </w:rPr>
              <w:t>二、</w:t>
            </w:r>
            <w:r>
              <w:rPr>
                <w:rFonts w:hint="eastAsia"/>
                <w:sz w:val="18"/>
                <w:szCs w:val="18"/>
              </w:rPr>
              <w:t>服务要求：</w:t>
            </w:r>
          </w:p>
          <w:p>
            <w:pPr>
              <w:ind w:firstLine="360" w:firstLineChars="200"/>
              <w:rPr>
                <w:rFonts w:hint="eastAsia"/>
                <w:sz w:val="18"/>
                <w:szCs w:val="18"/>
              </w:rPr>
            </w:pPr>
            <w:r>
              <w:rPr>
                <w:rFonts w:hint="eastAsia"/>
                <w:sz w:val="18"/>
                <w:szCs w:val="18"/>
                <w:lang w:eastAsia="zh-CN"/>
              </w:rPr>
              <w:t>（一）</w:t>
            </w:r>
            <w:r>
              <w:rPr>
                <w:rFonts w:hint="eastAsia"/>
                <w:sz w:val="18"/>
                <w:szCs w:val="18"/>
              </w:rPr>
              <w:t>服务范围：</w:t>
            </w:r>
          </w:p>
          <w:p>
            <w:pPr>
              <w:ind w:firstLine="360" w:firstLineChars="200"/>
              <w:rPr>
                <w:rFonts w:hint="eastAsia"/>
                <w:sz w:val="18"/>
                <w:szCs w:val="18"/>
                <w:lang w:val="en-US" w:eastAsia="zh-CN"/>
              </w:rPr>
            </w:pPr>
            <w:r>
              <w:rPr>
                <w:rFonts w:hint="eastAsia"/>
                <w:sz w:val="18"/>
                <w:szCs w:val="18"/>
                <w:lang w:eastAsia="zh-CN"/>
              </w:rPr>
              <w:t>海珠区辖内</w:t>
            </w:r>
            <w:r>
              <w:rPr>
                <w:rFonts w:hint="eastAsia"/>
                <w:sz w:val="18"/>
                <w:szCs w:val="18"/>
                <w:lang w:val="en-US" w:eastAsia="zh-CN"/>
              </w:rPr>
              <w:t>61个分馆，以及当年新建分馆馆点；同时根据实际需要包括广州市、区级图书馆的总分馆、区级学校流动服务点等。</w:t>
            </w:r>
          </w:p>
          <w:p>
            <w:pPr>
              <w:ind w:firstLine="360" w:firstLineChars="200"/>
              <w:rPr>
                <w:rFonts w:hint="eastAsia" w:eastAsia="宋体"/>
                <w:sz w:val="18"/>
                <w:szCs w:val="18"/>
                <w:lang w:eastAsia="zh-CN"/>
              </w:rPr>
            </w:pPr>
            <w:r>
              <w:rPr>
                <w:rFonts w:hint="eastAsia"/>
                <w:sz w:val="18"/>
                <w:szCs w:val="18"/>
                <w:lang w:eastAsia="zh-CN"/>
              </w:rPr>
              <w:t>（二）</w:t>
            </w:r>
            <w:r>
              <w:rPr>
                <w:rFonts w:hint="eastAsia"/>
                <w:sz w:val="18"/>
                <w:szCs w:val="18"/>
              </w:rPr>
              <w:t>服务</w:t>
            </w:r>
            <w:r>
              <w:rPr>
                <w:rFonts w:hint="eastAsia"/>
                <w:sz w:val="18"/>
                <w:szCs w:val="18"/>
                <w:lang w:eastAsia="zh-CN"/>
              </w:rPr>
              <w:t>项目</w:t>
            </w:r>
          </w:p>
          <w:p>
            <w:pPr>
              <w:ind w:firstLine="360" w:firstLineChars="200"/>
              <w:rPr>
                <w:sz w:val="18"/>
                <w:szCs w:val="18"/>
              </w:rPr>
            </w:pPr>
            <w:r>
              <w:rPr>
                <w:rFonts w:hint="eastAsia"/>
                <w:sz w:val="18"/>
                <w:szCs w:val="18"/>
              </w:rPr>
              <w:t>1</w:t>
            </w:r>
            <w:r>
              <w:rPr>
                <w:rFonts w:hint="eastAsia"/>
                <w:sz w:val="18"/>
                <w:szCs w:val="18"/>
                <w:lang w:eastAsia="zh-CN"/>
              </w:rPr>
              <w:t>、</w:t>
            </w:r>
            <w:r>
              <w:rPr>
                <w:rFonts w:hint="eastAsia"/>
                <w:sz w:val="18"/>
                <w:szCs w:val="18"/>
              </w:rPr>
              <w:t>总分馆图书物流</w:t>
            </w:r>
            <w:r>
              <w:rPr>
                <w:rFonts w:hint="eastAsia"/>
                <w:sz w:val="18"/>
                <w:szCs w:val="18"/>
                <w:lang w:eastAsia="zh-CN"/>
              </w:rPr>
              <w:t>服务</w:t>
            </w:r>
            <w:r>
              <w:rPr>
                <w:rFonts w:hint="eastAsia"/>
                <w:sz w:val="18"/>
                <w:szCs w:val="18"/>
              </w:rPr>
              <w:t>：</w:t>
            </w:r>
          </w:p>
          <w:p>
            <w:pPr>
              <w:ind w:firstLine="360" w:firstLineChars="200"/>
              <w:rPr>
                <w:rFonts w:hint="eastAsia"/>
                <w:sz w:val="18"/>
                <w:szCs w:val="18"/>
              </w:rPr>
            </w:pPr>
            <w:r>
              <w:rPr>
                <w:rFonts w:hint="eastAsia"/>
                <w:sz w:val="18"/>
                <w:szCs w:val="18"/>
              </w:rPr>
              <w:t>总分馆图书</w:t>
            </w:r>
            <w:r>
              <w:rPr>
                <w:rFonts w:hint="eastAsia"/>
                <w:sz w:val="18"/>
                <w:szCs w:val="18"/>
                <w:lang w:eastAsia="zh-CN"/>
              </w:rPr>
              <w:t>物流服务</w:t>
            </w:r>
            <w:r>
              <w:rPr>
                <w:rFonts w:hint="eastAsia"/>
                <w:sz w:val="18"/>
                <w:szCs w:val="18"/>
              </w:rPr>
              <w:t>指海珠区图书馆总馆与分馆之间的借还图书的物流服务及维护工作，保障图书资源的流通效率和提高图书资源的利用率。</w:t>
            </w:r>
          </w:p>
          <w:p>
            <w:pPr>
              <w:ind w:firstLine="360" w:firstLineChars="200"/>
              <w:rPr>
                <w:rFonts w:hint="eastAsia"/>
                <w:sz w:val="18"/>
                <w:szCs w:val="18"/>
              </w:rPr>
            </w:pPr>
            <w:r>
              <w:rPr>
                <w:rFonts w:hint="eastAsia"/>
                <w:sz w:val="18"/>
                <w:szCs w:val="18"/>
                <w:lang w:val="en-US" w:eastAsia="zh-CN"/>
              </w:rPr>
              <w:t>（1）</w:t>
            </w:r>
            <w:r>
              <w:rPr>
                <w:rFonts w:hint="eastAsia"/>
                <w:sz w:val="18"/>
                <w:szCs w:val="18"/>
              </w:rPr>
              <w:t>服务内容</w:t>
            </w:r>
            <w:r>
              <w:rPr>
                <w:rFonts w:hint="eastAsia"/>
                <w:sz w:val="18"/>
                <w:szCs w:val="18"/>
                <w:lang w:eastAsia="zh-CN"/>
              </w:rPr>
              <w:t>：</w:t>
            </w:r>
            <w:r>
              <w:rPr>
                <w:rFonts w:hint="eastAsia"/>
                <w:sz w:val="18"/>
                <w:szCs w:val="18"/>
              </w:rPr>
              <w:t>包括指定馆点图书选配、装箱运输至分馆上架、分馆图书整理、图书下架轮换、旧书剔除、资源巡检、设备</w:t>
            </w:r>
            <w:r>
              <w:rPr>
                <w:rFonts w:hint="eastAsia"/>
                <w:sz w:val="18"/>
                <w:szCs w:val="18"/>
                <w:lang w:eastAsia="zh-CN"/>
              </w:rPr>
              <w:t>运送</w:t>
            </w:r>
            <w:r>
              <w:rPr>
                <w:rFonts w:hint="eastAsia"/>
                <w:sz w:val="18"/>
                <w:szCs w:val="18"/>
                <w:lang w:val="en-US" w:eastAsia="zh-CN"/>
              </w:rPr>
              <w:t>/</w:t>
            </w:r>
            <w:r>
              <w:rPr>
                <w:rFonts w:hint="eastAsia"/>
                <w:sz w:val="18"/>
                <w:szCs w:val="18"/>
              </w:rPr>
              <w:t>维护（补充读者证、自助机器测试）清洁、还回馆际图书分拣装箱运输、分馆状态监控等工作。</w:t>
            </w:r>
          </w:p>
          <w:p>
            <w:pPr>
              <w:ind w:firstLine="360" w:firstLineChars="200"/>
              <w:rPr>
                <w:rFonts w:hint="eastAsia"/>
                <w:sz w:val="18"/>
                <w:szCs w:val="18"/>
              </w:rPr>
            </w:pPr>
            <w:r>
              <w:rPr>
                <w:rFonts w:hint="eastAsia"/>
                <w:sz w:val="18"/>
                <w:szCs w:val="18"/>
                <w:lang w:val="en-US" w:eastAsia="zh-CN"/>
              </w:rPr>
              <w:t>（2）</w:t>
            </w:r>
            <w:r>
              <w:rPr>
                <w:rFonts w:hint="eastAsia"/>
                <w:sz w:val="18"/>
                <w:szCs w:val="18"/>
                <w:lang w:eastAsia="zh-CN"/>
              </w:rPr>
              <w:t>服务要求：</w:t>
            </w:r>
          </w:p>
          <w:p>
            <w:pPr>
              <w:ind w:firstLine="360" w:firstLineChars="200"/>
              <w:rPr>
                <w:rFonts w:hint="eastAsia"/>
                <w:sz w:val="18"/>
                <w:szCs w:val="18"/>
              </w:rPr>
            </w:pPr>
            <w:r>
              <w:rPr>
                <w:rFonts w:hint="eastAsia"/>
                <w:sz w:val="18"/>
                <w:szCs w:val="18"/>
              </w:rPr>
              <w:t>图书选配:按馆方要求查找、挑选符合标准的图书，保证新建分馆藏书覆盖读者人群广、新旧搭配合理。</w:t>
            </w:r>
          </w:p>
          <w:p>
            <w:pPr>
              <w:rPr>
                <w:rFonts w:hint="eastAsia"/>
                <w:sz w:val="18"/>
                <w:szCs w:val="18"/>
              </w:rPr>
            </w:pPr>
            <w:r>
              <w:rPr>
                <w:rFonts w:hint="eastAsia"/>
                <w:sz w:val="18"/>
                <w:szCs w:val="18"/>
              </w:rPr>
              <w:t>数据调入：利用图书信息采集设备和图书馆中心管理系统对选配完成需配送至分馆的图书进行馆藏状态修改，馆藏地点修改至新建分馆。</w:t>
            </w:r>
          </w:p>
          <w:p>
            <w:pPr>
              <w:ind w:firstLine="360" w:firstLineChars="200"/>
              <w:rPr>
                <w:rFonts w:hint="eastAsia"/>
                <w:sz w:val="18"/>
                <w:szCs w:val="18"/>
              </w:rPr>
            </w:pPr>
            <w:r>
              <w:rPr>
                <w:rFonts w:hint="eastAsia"/>
                <w:sz w:val="18"/>
                <w:szCs w:val="18"/>
              </w:rPr>
              <w:t>图书打包：利用包装纸及打包机器对馆藏状态已修改完成的图书进行打包，便于转移及运输。</w:t>
            </w:r>
          </w:p>
          <w:p>
            <w:pPr>
              <w:ind w:firstLine="360" w:firstLineChars="200"/>
              <w:rPr>
                <w:rFonts w:hint="eastAsia"/>
                <w:sz w:val="18"/>
                <w:szCs w:val="18"/>
              </w:rPr>
            </w:pPr>
            <w:r>
              <w:rPr>
                <w:rFonts w:hint="eastAsia"/>
                <w:sz w:val="18"/>
                <w:szCs w:val="18"/>
              </w:rPr>
              <w:t>运输装卸：打包好图书由物流服务人员进行转运、装车，运送至新建馆点。</w:t>
            </w:r>
          </w:p>
          <w:p>
            <w:pPr>
              <w:ind w:firstLine="360" w:firstLineChars="200"/>
              <w:rPr>
                <w:rFonts w:hint="eastAsia"/>
                <w:sz w:val="18"/>
                <w:szCs w:val="18"/>
              </w:rPr>
            </w:pPr>
            <w:r>
              <w:rPr>
                <w:rFonts w:hint="eastAsia"/>
                <w:sz w:val="18"/>
                <w:szCs w:val="18"/>
              </w:rPr>
              <w:t>分类分拣：对送达的图书进行入库、拆包、分类。</w:t>
            </w:r>
          </w:p>
          <w:p>
            <w:pPr>
              <w:ind w:firstLine="360" w:firstLineChars="200"/>
              <w:rPr>
                <w:rFonts w:hint="eastAsia"/>
                <w:sz w:val="18"/>
                <w:szCs w:val="18"/>
              </w:rPr>
            </w:pPr>
            <w:r>
              <w:rPr>
                <w:rFonts w:hint="eastAsia"/>
                <w:sz w:val="18"/>
                <w:szCs w:val="18"/>
              </w:rPr>
              <w:t>采集上架：对上架图书进行采集核对、定位，核对图书数据的完整性。</w:t>
            </w:r>
          </w:p>
          <w:p>
            <w:pPr>
              <w:ind w:firstLine="360" w:firstLineChars="200"/>
              <w:rPr>
                <w:rFonts w:hint="eastAsia"/>
                <w:sz w:val="18"/>
                <w:szCs w:val="18"/>
              </w:rPr>
            </w:pPr>
            <w:r>
              <w:rPr>
                <w:rFonts w:hint="eastAsia"/>
                <w:sz w:val="18"/>
                <w:szCs w:val="18"/>
              </w:rPr>
              <w:t>整理排序：根据馆方要求对在架图书进行分类整理、排序，保证图书查找的快捷、便利。</w:t>
            </w:r>
          </w:p>
          <w:p>
            <w:pPr>
              <w:ind w:firstLine="360" w:firstLineChars="200"/>
              <w:rPr>
                <w:rFonts w:hint="eastAsia"/>
                <w:sz w:val="18"/>
                <w:szCs w:val="18"/>
              </w:rPr>
            </w:pPr>
            <w:r>
              <w:rPr>
                <w:rFonts w:hint="eastAsia"/>
                <w:sz w:val="18"/>
                <w:szCs w:val="18"/>
              </w:rPr>
              <w:t>旧书剔除：对分馆残书、旧书等达到剔除标准的书籍进行剔除并打包交由海珠区图书馆处理。</w:t>
            </w:r>
          </w:p>
          <w:p>
            <w:pPr>
              <w:ind w:firstLine="360" w:firstLineChars="200"/>
              <w:rPr>
                <w:rFonts w:hint="eastAsia"/>
                <w:sz w:val="18"/>
                <w:szCs w:val="18"/>
              </w:rPr>
            </w:pPr>
            <w:r>
              <w:rPr>
                <w:rFonts w:hint="eastAsia"/>
                <w:sz w:val="18"/>
                <w:szCs w:val="18"/>
                <w:lang w:val="en-US" w:eastAsia="zh-CN"/>
              </w:rPr>
              <w:t>（3）服务说明：总分馆物流每次配送图书约800册。各分馆物流图书数量和次数按分馆实际需求进行调配。</w:t>
            </w:r>
          </w:p>
          <w:p>
            <w:pPr>
              <w:ind w:firstLine="360" w:firstLineChars="200"/>
              <w:rPr>
                <w:rFonts w:hint="eastAsia"/>
                <w:sz w:val="18"/>
                <w:szCs w:val="18"/>
              </w:rPr>
            </w:pPr>
            <w:r>
              <w:rPr>
                <w:rFonts w:hint="eastAsia"/>
                <w:sz w:val="18"/>
                <w:szCs w:val="18"/>
                <w:lang w:val="en-US" w:eastAsia="zh-CN"/>
              </w:rPr>
              <w:t>2、</w:t>
            </w:r>
            <w:r>
              <w:rPr>
                <w:rFonts w:hint="eastAsia"/>
                <w:sz w:val="18"/>
                <w:szCs w:val="18"/>
              </w:rPr>
              <w:t>流动图书车服务</w:t>
            </w:r>
          </w:p>
          <w:p>
            <w:pPr>
              <w:ind w:firstLine="360" w:firstLineChars="200"/>
              <w:rPr>
                <w:rFonts w:hint="eastAsia"/>
                <w:sz w:val="18"/>
                <w:szCs w:val="18"/>
              </w:rPr>
            </w:pPr>
            <w:r>
              <w:rPr>
                <w:rFonts w:hint="eastAsia"/>
                <w:sz w:val="18"/>
                <w:szCs w:val="18"/>
              </w:rPr>
              <w:t>流动图书车服务是针对海珠区内小学提供的一种个性化的图书馆服务，以海珠区图书馆服务为基础，富有针对性的调配一批儿童读物以学校现场咨询、借还、阅读等方式为小学生提供公共图书馆服务，不仅是校园图书馆的有效补充，而且是公共图书馆服务的一种延伸。</w:t>
            </w:r>
          </w:p>
          <w:p>
            <w:pPr>
              <w:ind w:firstLine="360" w:firstLineChars="200"/>
              <w:rPr>
                <w:rFonts w:hint="eastAsia"/>
                <w:sz w:val="18"/>
                <w:szCs w:val="18"/>
              </w:rPr>
            </w:pPr>
            <w:r>
              <w:rPr>
                <w:rFonts w:hint="eastAsia"/>
                <w:sz w:val="18"/>
                <w:szCs w:val="18"/>
              </w:rPr>
              <w:t>服务地点：以学校单位申请为主</w:t>
            </w:r>
            <w:r>
              <w:rPr>
                <w:rFonts w:hint="eastAsia"/>
                <w:sz w:val="18"/>
                <w:szCs w:val="18"/>
                <w:lang w:eastAsia="zh-CN"/>
              </w:rPr>
              <w:t>。</w:t>
            </w:r>
            <w:r>
              <w:rPr>
                <w:rFonts w:hint="eastAsia"/>
                <w:sz w:val="18"/>
                <w:szCs w:val="18"/>
              </w:rPr>
              <w:t>海珠区图书馆协定“流动图书车”服务的场地及设施，包括现场的展台配备、电力供应、秩序维护等。</w:t>
            </w:r>
          </w:p>
          <w:p>
            <w:pPr>
              <w:ind w:firstLine="360" w:firstLineChars="200"/>
              <w:rPr>
                <w:rFonts w:hint="eastAsia"/>
                <w:sz w:val="18"/>
                <w:szCs w:val="18"/>
              </w:rPr>
            </w:pPr>
            <w:r>
              <w:rPr>
                <w:rFonts w:hint="eastAsia"/>
                <w:sz w:val="18"/>
                <w:szCs w:val="18"/>
              </w:rPr>
              <w:t>服务</w:t>
            </w:r>
            <w:r>
              <w:rPr>
                <w:rFonts w:hint="eastAsia"/>
                <w:sz w:val="18"/>
                <w:szCs w:val="18"/>
                <w:lang w:eastAsia="zh-CN"/>
              </w:rPr>
              <w:t>流程</w:t>
            </w:r>
            <w:r>
              <w:rPr>
                <w:rFonts w:hint="eastAsia"/>
                <w:sz w:val="18"/>
                <w:szCs w:val="18"/>
              </w:rPr>
              <w:t>：约定时间按服务要求准备图书约2000册，到达学校</w:t>
            </w:r>
            <w:r>
              <w:rPr>
                <w:rFonts w:hint="eastAsia"/>
                <w:sz w:val="18"/>
                <w:szCs w:val="18"/>
                <w:lang w:eastAsia="zh-CN"/>
              </w:rPr>
              <w:t>后协助</w:t>
            </w:r>
            <w:r>
              <w:rPr>
                <w:rFonts w:hint="eastAsia"/>
                <w:sz w:val="18"/>
                <w:szCs w:val="18"/>
              </w:rPr>
              <w:t>开展校园服务，结束</w:t>
            </w:r>
            <w:r>
              <w:rPr>
                <w:rFonts w:hint="eastAsia"/>
                <w:sz w:val="18"/>
                <w:szCs w:val="18"/>
                <w:lang w:eastAsia="zh-CN"/>
              </w:rPr>
              <w:t>后</w:t>
            </w:r>
            <w:r>
              <w:rPr>
                <w:rFonts w:hint="eastAsia"/>
                <w:sz w:val="18"/>
                <w:szCs w:val="18"/>
              </w:rPr>
              <w:t>返回海珠区图书馆。规划每周开展</w:t>
            </w:r>
            <w:r>
              <w:rPr>
                <w:rFonts w:hint="eastAsia"/>
                <w:sz w:val="18"/>
                <w:szCs w:val="18"/>
                <w:lang w:val="en-US" w:eastAsia="zh-CN"/>
              </w:rPr>
              <w:t>1-</w:t>
            </w:r>
            <w:r>
              <w:rPr>
                <w:rFonts w:hint="eastAsia"/>
                <w:sz w:val="18"/>
                <w:szCs w:val="18"/>
              </w:rPr>
              <w:t>2次学校服务。</w:t>
            </w:r>
          </w:p>
          <w:p>
            <w:pPr>
              <w:ind w:firstLine="360" w:firstLineChars="200"/>
              <w:rPr>
                <w:rFonts w:hint="eastAsia"/>
                <w:sz w:val="18"/>
                <w:szCs w:val="18"/>
                <w:lang w:eastAsia="zh-CN"/>
              </w:rPr>
            </w:pPr>
            <w:r>
              <w:rPr>
                <w:rFonts w:hint="eastAsia"/>
                <w:sz w:val="18"/>
                <w:szCs w:val="18"/>
                <w:lang w:val="en-US" w:eastAsia="zh-CN"/>
              </w:rPr>
              <w:t>服务人员：海珠区图书馆人员1-2人。物流服务人员3人，需</w:t>
            </w:r>
            <w:r>
              <w:rPr>
                <w:rFonts w:hint="eastAsia"/>
                <w:sz w:val="18"/>
                <w:szCs w:val="18"/>
              </w:rPr>
              <w:t>具备</w:t>
            </w:r>
            <w:r>
              <w:rPr>
                <w:rFonts w:hint="eastAsia"/>
                <w:sz w:val="18"/>
                <w:szCs w:val="18"/>
                <w:lang w:val="en-US" w:eastAsia="zh-CN"/>
              </w:rPr>
              <w:t>图书馆学</w:t>
            </w:r>
            <w:r>
              <w:rPr>
                <w:rFonts w:hint="eastAsia"/>
                <w:sz w:val="18"/>
                <w:szCs w:val="18"/>
              </w:rPr>
              <w:t>业务知识</w:t>
            </w:r>
            <w:r>
              <w:rPr>
                <w:rFonts w:hint="eastAsia"/>
                <w:sz w:val="18"/>
                <w:szCs w:val="18"/>
                <w:lang w:eastAsia="zh-CN"/>
              </w:rPr>
              <w:t>，</w:t>
            </w:r>
            <w:r>
              <w:rPr>
                <w:rFonts w:hint="eastAsia"/>
                <w:sz w:val="18"/>
                <w:szCs w:val="18"/>
              </w:rPr>
              <w:t>能熟练</w:t>
            </w:r>
            <w:r>
              <w:rPr>
                <w:rFonts w:hint="eastAsia"/>
                <w:sz w:val="18"/>
                <w:szCs w:val="18"/>
                <w:lang w:eastAsia="zh-CN"/>
              </w:rPr>
              <w:t>运用公共</w:t>
            </w:r>
            <w:r>
              <w:rPr>
                <w:rFonts w:hint="eastAsia"/>
                <w:sz w:val="18"/>
                <w:szCs w:val="18"/>
                <w:lang w:val="en-US" w:eastAsia="zh-CN"/>
              </w:rPr>
              <w:t>图书馆操作系统</w:t>
            </w:r>
            <w:r>
              <w:rPr>
                <w:rFonts w:hint="eastAsia"/>
                <w:sz w:val="18"/>
                <w:szCs w:val="18"/>
                <w:lang w:eastAsia="zh-CN"/>
              </w:rPr>
              <w:t>进行图书借还服务</w:t>
            </w:r>
            <w:r>
              <w:rPr>
                <w:rFonts w:hint="eastAsia"/>
                <w:sz w:val="18"/>
                <w:szCs w:val="18"/>
              </w:rPr>
              <w:t>，</w:t>
            </w:r>
            <w:r>
              <w:rPr>
                <w:rFonts w:hint="eastAsia"/>
                <w:sz w:val="18"/>
                <w:szCs w:val="18"/>
                <w:lang w:eastAsia="zh-CN"/>
              </w:rPr>
              <w:t>并</w:t>
            </w:r>
            <w:r>
              <w:rPr>
                <w:rFonts w:hint="eastAsia"/>
                <w:sz w:val="18"/>
                <w:szCs w:val="18"/>
              </w:rPr>
              <w:t>独立完成图书查阅和数据库查询</w:t>
            </w:r>
            <w:r>
              <w:rPr>
                <w:rFonts w:hint="eastAsia"/>
                <w:sz w:val="18"/>
                <w:szCs w:val="18"/>
                <w:lang w:eastAsia="zh-CN"/>
              </w:rPr>
              <w:t>等</w:t>
            </w:r>
            <w:r>
              <w:rPr>
                <w:rFonts w:hint="eastAsia"/>
                <w:sz w:val="18"/>
                <w:szCs w:val="18"/>
              </w:rPr>
              <w:t>服务工作</w:t>
            </w:r>
            <w:r>
              <w:rPr>
                <w:rFonts w:hint="eastAsia"/>
                <w:sz w:val="18"/>
                <w:szCs w:val="18"/>
                <w:lang w:eastAsia="zh-CN"/>
              </w:rPr>
              <w:t>。</w:t>
            </w:r>
          </w:p>
          <w:p>
            <w:pPr>
              <w:rPr>
                <w:rFonts w:hint="eastAsia"/>
                <w:sz w:val="18"/>
                <w:szCs w:val="18"/>
              </w:rPr>
            </w:pPr>
            <w:r>
              <w:rPr>
                <w:rFonts w:hint="eastAsia"/>
                <w:sz w:val="18"/>
                <w:szCs w:val="18"/>
                <w:lang w:eastAsia="zh-CN"/>
              </w:rPr>
              <w:t>服务内容</w:t>
            </w:r>
            <w:r>
              <w:rPr>
                <w:rFonts w:hint="eastAsia"/>
                <w:sz w:val="18"/>
                <w:szCs w:val="18"/>
              </w:rPr>
              <w:t>：海珠区图书馆人员负责与校方间的沟通协调及开展服务工作时的咨询工作。物流服务人员负责搬运图书、摆放图书上桌、</w:t>
            </w:r>
            <w:r>
              <w:rPr>
                <w:rFonts w:hint="eastAsia"/>
                <w:sz w:val="18"/>
                <w:szCs w:val="18"/>
                <w:lang w:eastAsia="zh-CN"/>
              </w:rPr>
              <w:t>提供</w:t>
            </w:r>
            <w:r>
              <w:rPr>
                <w:rFonts w:hint="eastAsia"/>
                <w:sz w:val="18"/>
                <w:szCs w:val="18"/>
                <w:lang w:val="en-US" w:eastAsia="zh-CN"/>
              </w:rPr>
              <w:t>读者办证、图书查询与图书借还</w:t>
            </w:r>
            <w:r>
              <w:rPr>
                <w:rFonts w:hint="eastAsia"/>
                <w:sz w:val="18"/>
                <w:szCs w:val="18"/>
                <w:lang w:eastAsia="zh-CN"/>
              </w:rPr>
              <w:t>服务</w:t>
            </w:r>
            <w:r>
              <w:rPr>
                <w:rFonts w:hint="eastAsia"/>
                <w:sz w:val="18"/>
                <w:szCs w:val="18"/>
                <w:lang w:val="en-US" w:eastAsia="zh-CN"/>
              </w:rPr>
              <w:t>工作</w:t>
            </w:r>
            <w:r>
              <w:rPr>
                <w:rFonts w:hint="eastAsia"/>
                <w:sz w:val="18"/>
                <w:szCs w:val="18"/>
              </w:rPr>
              <w:t>、活动期间定期整理图书、维持借书活动的秩序、活动结束后将书装箱</w:t>
            </w:r>
            <w:r>
              <w:rPr>
                <w:rFonts w:hint="eastAsia"/>
                <w:sz w:val="18"/>
                <w:szCs w:val="18"/>
                <w:lang w:eastAsia="zh-CN"/>
              </w:rPr>
              <w:t>运送回馆</w:t>
            </w:r>
            <w:r>
              <w:rPr>
                <w:rFonts w:hint="eastAsia"/>
                <w:sz w:val="18"/>
                <w:szCs w:val="18"/>
              </w:rPr>
              <w:t>。</w:t>
            </w:r>
          </w:p>
          <w:p>
            <w:pPr>
              <w:ind w:firstLine="360" w:firstLineChars="200"/>
              <w:rPr>
                <w:rFonts w:hint="eastAsia"/>
                <w:sz w:val="18"/>
                <w:szCs w:val="18"/>
              </w:rPr>
            </w:pPr>
            <w:r>
              <w:rPr>
                <w:rFonts w:hint="eastAsia"/>
                <w:sz w:val="18"/>
                <w:szCs w:val="18"/>
                <w:lang w:val="en-US" w:eastAsia="zh-CN"/>
              </w:rPr>
              <w:t>服务设备：供应商提供物流车一辆； 2 套图书借还设备，用于活动现场图书借还。</w:t>
            </w:r>
          </w:p>
          <w:p>
            <w:pPr>
              <w:ind w:firstLine="360" w:firstLineChars="200"/>
              <w:rPr>
                <w:rFonts w:hint="eastAsia"/>
                <w:sz w:val="18"/>
                <w:szCs w:val="18"/>
                <w:lang w:eastAsia="zh-CN"/>
              </w:rPr>
            </w:pPr>
            <w:r>
              <w:rPr>
                <w:rFonts w:hint="eastAsia"/>
                <w:sz w:val="18"/>
                <w:szCs w:val="18"/>
                <w:lang w:val="en-US" w:eastAsia="zh-CN"/>
              </w:rPr>
              <w:t>3、</w:t>
            </w:r>
            <w:r>
              <w:rPr>
                <w:rFonts w:hint="eastAsia"/>
                <w:sz w:val="18"/>
                <w:szCs w:val="18"/>
                <w:lang w:eastAsia="zh-CN"/>
              </w:rPr>
              <w:t>校园活动展板配送</w:t>
            </w:r>
          </w:p>
          <w:p>
            <w:pPr>
              <w:ind w:firstLine="360" w:firstLineChars="200"/>
              <w:rPr>
                <w:rFonts w:hint="eastAsia"/>
                <w:sz w:val="18"/>
                <w:szCs w:val="18"/>
                <w:lang w:eastAsia="zh-CN"/>
              </w:rPr>
            </w:pPr>
            <w:r>
              <w:rPr>
                <w:rFonts w:hint="eastAsia"/>
                <w:sz w:val="18"/>
                <w:szCs w:val="18"/>
                <w:lang w:eastAsia="zh-CN"/>
              </w:rPr>
              <w:t>校园活动展板配送是海珠区图书馆为合作学校</w:t>
            </w:r>
            <w:r>
              <w:rPr>
                <w:rFonts w:hint="eastAsia"/>
                <w:sz w:val="18"/>
                <w:szCs w:val="18"/>
              </w:rPr>
              <w:t>提供的</w:t>
            </w:r>
            <w:r>
              <w:rPr>
                <w:rFonts w:hint="eastAsia"/>
                <w:sz w:val="18"/>
                <w:szCs w:val="18"/>
                <w:lang w:eastAsia="zh-CN"/>
              </w:rPr>
              <w:t>特色化展览</w:t>
            </w:r>
            <w:r>
              <w:rPr>
                <w:rFonts w:hint="eastAsia"/>
                <w:sz w:val="18"/>
                <w:szCs w:val="18"/>
              </w:rPr>
              <w:t>服务，以</w:t>
            </w:r>
            <w:r>
              <w:rPr>
                <w:rFonts w:hint="eastAsia"/>
                <w:sz w:val="18"/>
                <w:szCs w:val="18"/>
                <w:lang w:eastAsia="zh-CN"/>
              </w:rPr>
              <w:t>总馆丰富的展览活动资源为基础，将富有时代意义和正面能量，适合学生群体参观学习的展览资源向学校辐射，</w:t>
            </w:r>
            <w:r>
              <w:rPr>
                <w:rFonts w:hint="eastAsia"/>
                <w:sz w:val="18"/>
                <w:szCs w:val="18"/>
              </w:rPr>
              <w:t>是</w:t>
            </w:r>
            <w:r>
              <w:rPr>
                <w:rFonts w:hint="eastAsia"/>
                <w:sz w:val="18"/>
                <w:szCs w:val="18"/>
                <w:lang w:eastAsia="zh-CN"/>
              </w:rPr>
              <w:t>馆校合作模式的有益尝试，也是公共图书馆活动服务走进</w:t>
            </w:r>
            <w:r>
              <w:rPr>
                <w:rFonts w:hint="eastAsia"/>
                <w:sz w:val="18"/>
                <w:szCs w:val="18"/>
              </w:rPr>
              <w:t>校园</w:t>
            </w:r>
            <w:r>
              <w:rPr>
                <w:rFonts w:hint="eastAsia"/>
                <w:sz w:val="18"/>
                <w:szCs w:val="18"/>
                <w:lang w:eastAsia="zh-CN"/>
              </w:rPr>
              <w:t>、走进基层的创新服务方式之一。</w:t>
            </w:r>
          </w:p>
          <w:p>
            <w:pPr>
              <w:ind w:firstLine="360" w:firstLineChars="200"/>
              <w:rPr>
                <w:rFonts w:hint="eastAsia"/>
                <w:sz w:val="18"/>
                <w:szCs w:val="18"/>
                <w:lang w:eastAsia="zh-CN"/>
              </w:rPr>
            </w:pPr>
            <w:r>
              <w:rPr>
                <w:rFonts w:hint="eastAsia"/>
                <w:sz w:val="18"/>
                <w:szCs w:val="18"/>
                <w:lang w:eastAsia="zh-CN"/>
              </w:rPr>
              <w:t>服务地点：以合作学校为主。海珠区图书馆协定展览活动的场地及设施，实施布展。</w:t>
            </w:r>
          </w:p>
          <w:p>
            <w:pPr>
              <w:ind w:firstLine="360" w:firstLineChars="200"/>
              <w:rPr>
                <w:rFonts w:hint="eastAsia"/>
                <w:sz w:val="18"/>
                <w:szCs w:val="18"/>
                <w:lang w:eastAsia="zh-CN"/>
              </w:rPr>
            </w:pPr>
            <w:r>
              <w:rPr>
                <w:rFonts w:hint="eastAsia"/>
                <w:sz w:val="18"/>
                <w:szCs w:val="18"/>
                <w:lang w:eastAsia="zh-CN"/>
              </w:rPr>
              <w:t>服务流程：根据展览内容和学校时间灵活确定展览时间。物流根据约定时间按要求把展板等活动资源送去学校。</w:t>
            </w:r>
          </w:p>
          <w:p>
            <w:pPr>
              <w:ind w:firstLine="360" w:firstLineChars="200"/>
              <w:rPr>
                <w:rFonts w:hint="eastAsia"/>
                <w:sz w:val="18"/>
                <w:szCs w:val="18"/>
                <w:lang w:val="en-US" w:eastAsia="zh-CN"/>
              </w:rPr>
            </w:pPr>
            <w:r>
              <w:rPr>
                <w:rFonts w:hint="eastAsia"/>
                <w:sz w:val="18"/>
                <w:szCs w:val="18"/>
                <w:lang w:eastAsia="zh-CN"/>
              </w:rPr>
              <w:t>服务人员及内容：海珠区图书馆</w:t>
            </w:r>
            <w:r>
              <w:rPr>
                <w:rFonts w:hint="eastAsia"/>
                <w:sz w:val="18"/>
                <w:szCs w:val="18"/>
                <w:lang w:val="en-US" w:eastAsia="zh-CN"/>
              </w:rPr>
              <w:t>1-3人，负责与学校方的沟通协调及布展工作。物流服务人员2人，负责搬运展板等活动资源，按要求协助布展。</w:t>
            </w:r>
          </w:p>
          <w:p>
            <w:pPr>
              <w:ind w:firstLine="360" w:firstLineChars="200"/>
              <w:rPr>
                <w:rFonts w:hint="eastAsia"/>
                <w:sz w:val="18"/>
                <w:szCs w:val="18"/>
                <w:lang w:val="en-US" w:eastAsia="zh-CN"/>
              </w:rPr>
            </w:pPr>
          </w:p>
        </w:tc>
        <w:tc>
          <w:tcPr>
            <w:tcW w:w="6106" w:type="dxa"/>
            <w:vAlign w:val="center"/>
          </w:tcPr>
          <w:p>
            <w:pPr>
              <w:widowControl/>
              <w:rPr>
                <w:rFonts w:hint="eastAsia" w:ascii="宋体" w:hAnsi="宋体" w:cs="宋体"/>
                <w:color w:val="auto"/>
                <w:kern w:val="0"/>
                <w:sz w:val="18"/>
                <w:szCs w:val="18"/>
                <w:lang w:eastAsia="zh-CN"/>
              </w:rPr>
            </w:pPr>
          </w:p>
          <w:p>
            <w:pPr>
              <w:widowControl/>
              <w:rPr>
                <w:rFonts w:hint="eastAsia" w:ascii="宋体" w:hAnsi="宋体" w:cs="宋体"/>
                <w:color w:val="auto"/>
                <w:kern w:val="0"/>
                <w:sz w:val="24"/>
                <w:lang w:eastAsia="zh-CN"/>
              </w:rPr>
            </w:pPr>
          </w:p>
          <w:p>
            <w:pPr>
              <w:widowControl/>
              <w:rPr>
                <w:rFonts w:hint="eastAsia" w:ascii="宋体" w:hAnsi="宋体" w:cs="宋体"/>
                <w:color w:val="auto"/>
                <w:kern w:val="0"/>
                <w:sz w:val="24"/>
                <w:lang w:eastAsia="zh-CN"/>
              </w:rPr>
            </w:pPr>
          </w:p>
          <w:p>
            <w:pPr>
              <w:widowControl/>
              <w:rPr>
                <w:rFonts w:hint="eastAsia" w:ascii="宋体" w:hAnsi="宋体" w:cs="宋体"/>
                <w:color w:val="auto"/>
                <w:kern w:val="0"/>
                <w:sz w:val="24"/>
                <w:lang w:eastAsia="zh-CN"/>
              </w:rPr>
            </w:pPr>
          </w:p>
        </w:tc>
        <w:tc>
          <w:tcPr>
            <w:tcW w:w="1577" w:type="dxa"/>
            <w:vAlign w:val="center"/>
          </w:tcPr>
          <w:p>
            <w:pPr>
              <w:widowControl/>
              <w:rPr>
                <w:rFonts w:ascii="宋体" w:hAnsi="宋体" w:cs="宋体"/>
                <w:color w:val="auto"/>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64" w:hRule="atLeast"/>
          <w:jc w:val="center"/>
        </w:trPr>
        <w:tc>
          <w:tcPr>
            <w:tcW w:w="576" w:type="dxa"/>
            <w:vAlign w:val="center"/>
          </w:tcPr>
          <w:p>
            <w:pPr>
              <w:widowControl/>
              <w:jc w:val="center"/>
              <w:rPr>
                <w:rFonts w:ascii="宋体" w:hAnsi="宋体" w:cs="宋体"/>
                <w:b w:val="0"/>
                <w:bCs w:val="0"/>
                <w:color w:val="auto"/>
                <w:kern w:val="0"/>
                <w:sz w:val="24"/>
              </w:rPr>
            </w:pPr>
            <w:r>
              <w:rPr>
                <w:rFonts w:hint="eastAsia" w:ascii="宋体" w:hAnsi="宋体" w:cs="宋体"/>
                <w:b w:val="0"/>
                <w:bCs w:val="0"/>
                <w:color w:val="auto"/>
                <w:kern w:val="0"/>
                <w:sz w:val="24"/>
              </w:rPr>
              <w:t>2</w:t>
            </w:r>
          </w:p>
        </w:tc>
        <w:tc>
          <w:tcPr>
            <w:tcW w:w="1209" w:type="dxa"/>
            <w:vAlign w:val="center"/>
          </w:tcPr>
          <w:p>
            <w:pPr>
              <w:widowControl/>
              <w:jc w:val="center"/>
              <w:rPr>
                <w:rFonts w:hint="eastAsia" w:ascii="宋体" w:hAnsi="宋体" w:eastAsia="宋体" w:cs="宋体"/>
                <w:b w:val="0"/>
                <w:bCs w:val="0"/>
                <w:color w:val="auto"/>
                <w:kern w:val="0"/>
                <w:sz w:val="24"/>
                <w:lang w:eastAsia="zh-CN"/>
              </w:rPr>
            </w:pPr>
            <w:r>
              <w:rPr>
                <w:rFonts w:hint="eastAsia" w:ascii="宋体" w:hAnsi="宋体" w:cs="宋体"/>
                <w:b w:val="0"/>
                <w:bCs w:val="0"/>
                <w:color w:val="auto"/>
                <w:kern w:val="0"/>
                <w:sz w:val="24"/>
                <w:lang w:eastAsia="zh-CN"/>
              </w:rPr>
              <w:t>各项目</w:t>
            </w:r>
            <w:r>
              <w:rPr>
                <w:rFonts w:hint="eastAsia" w:ascii="宋体" w:hAnsi="宋体" w:cs="宋体"/>
                <w:b w:val="0"/>
                <w:bCs w:val="0"/>
                <w:color w:val="auto"/>
                <w:kern w:val="0"/>
                <w:sz w:val="24"/>
              </w:rPr>
              <w:t>报价</w:t>
            </w:r>
          </w:p>
        </w:tc>
        <w:tc>
          <w:tcPr>
            <w:tcW w:w="12189" w:type="dxa"/>
            <w:gridSpan w:val="2"/>
            <w:vAlign w:val="center"/>
          </w:tcPr>
          <w:p>
            <w:pPr>
              <w:widowControl/>
              <w:numPr>
                <w:ilvl w:val="0"/>
                <w:numId w:val="1"/>
              </w:numP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总分馆图书物流服务395次，每次（                 ）元，共（                 ）元。</w:t>
            </w:r>
          </w:p>
          <w:p>
            <w:pPr>
              <w:widowControl/>
              <w:numPr>
                <w:ilvl w:val="0"/>
                <w:numId w:val="1"/>
              </w:numP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流动图书馆车服务38次，每次（                 ）元，共（                 ）元。</w:t>
            </w:r>
          </w:p>
          <w:p>
            <w:pPr>
              <w:widowControl/>
              <w:numPr>
                <w:ilvl w:val="0"/>
                <w:numId w:val="0"/>
              </w:numPr>
              <w:rPr>
                <w:rFonts w:hint="eastAsia" w:ascii="宋体" w:hAnsi="宋体" w:cs="宋体"/>
                <w:color w:val="auto"/>
                <w:kern w:val="0"/>
                <w:sz w:val="24"/>
                <w:lang w:val="en-US" w:eastAsia="zh-CN"/>
              </w:rPr>
            </w:pPr>
            <w:r>
              <w:rPr>
                <w:rFonts w:hint="eastAsia" w:ascii="宋体" w:hAnsi="宋体" w:cs="宋体"/>
                <w:color w:val="auto"/>
                <w:kern w:val="0"/>
                <w:sz w:val="18"/>
                <w:szCs w:val="18"/>
                <w:lang w:val="en-US" w:eastAsia="zh-CN"/>
              </w:rPr>
              <w:t>3、校园活动展板配送12次，每次（                 ）元，共（                 ）元。</w:t>
            </w:r>
          </w:p>
        </w:tc>
        <w:tc>
          <w:tcPr>
            <w:tcW w:w="1577" w:type="dxa"/>
            <w:vAlign w:val="center"/>
          </w:tcPr>
          <w:p>
            <w:pPr>
              <w:widowControl/>
              <w:rPr>
                <w:rFonts w:ascii="宋体" w:hAnsi="宋体" w:cs="宋体"/>
                <w:color w:val="auto"/>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3" w:hRule="atLeast"/>
          <w:jc w:val="center"/>
        </w:trPr>
        <w:tc>
          <w:tcPr>
            <w:tcW w:w="576" w:type="dxa"/>
            <w:vAlign w:val="center"/>
          </w:tcPr>
          <w:p>
            <w:pPr>
              <w:widowControl/>
              <w:jc w:val="center"/>
              <w:rPr>
                <w:rFonts w:hint="eastAsia" w:ascii="宋体" w:hAnsi="宋体" w:eastAsia="宋体" w:cs="宋体"/>
                <w:b w:val="0"/>
                <w:bCs w:val="0"/>
                <w:color w:val="auto"/>
                <w:kern w:val="0"/>
                <w:sz w:val="24"/>
                <w:lang w:val="en-US" w:eastAsia="zh-CN"/>
              </w:rPr>
            </w:pPr>
            <w:r>
              <w:rPr>
                <w:rFonts w:hint="eastAsia" w:ascii="宋体" w:hAnsi="宋体" w:cs="宋体"/>
                <w:b w:val="0"/>
                <w:bCs w:val="0"/>
                <w:color w:val="auto"/>
                <w:kern w:val="0"/>
                <w:sz w:val="24"/>
                <w:lang w:val="en-US" w:eastAsia="zh-CN"/>
              </w:rPr>
              <w:t>3</w:t>
            </w:r>
          </w:p>
        </w:tc>
        <w:tc>
          <w:tcPr>
            <w:tcW w:w="1209" w:type="dxa"/>
            <w:vAlign w:val="center"/>
          </w:tcPr>
          <w:p>
            <w:pPr>
              <w:widowControl/>
              <w:jc w:val="center"/>
              <w:rPr>
                <w:rFonts w:hint="eastAsia" w:ascii="宋体" w:hAnsi="宋体" w:eastAsia="宋体" w:cs="宋体"/>
                <w:b w:val="0"/>
                <w:bCs w:val="0"/>
                <w:color w:val="auto"/>
                <w:kern w:val="0"/>
                <w:sz w:val="24"/>
                <w:lang w:eastAsia="zh-CN"/>
              </w:rPr>
            </w:pPr>
            <w:r>
              <w:rPr>
                <w:rFonts w:hint="eastAsia" w:ascii="宋体" w:hAnsi="宋体" w:cs="宋体"/>
                <w:b w:val="0"/>
                <w:bCs w:val="0"/>
                <w:color w:val="auto"/>
                <w:kern w:val="0"/>
                <w:sz w:val="24"/>
                <w:lang w:eastAsia="zh-CN"/>
              </w:rPr>
              <w:t>总报价</w:t>
            </w:r>
          </w:p>
        </w:tc>
        <w:tc>
          <w:tcPr>
            <w:tcW w:w="12189" w:type="dxa"/>
            <w:gridSpan w:val="2"/>
            <w:vAlign w:val="center"/>
          </w:tcPr>
          <w:p>
            <w:pPr>
              <w:widowControl/>
              <w:rPr>
                <w:rFonts w:ascii="宋体" w:hAnsi="宋体" w:cs="宋体"/>
                <w:color w:val="auto"/>
                <w:kern w:val="0"/>
                <w:sz w:val="24"/>
              </w:rPr>
            </w:pPr>
            <w:bookmarkStart w:id="0" w:name="_GoBack"/>
            <w:bookmarkEnd w:id="0"/>
          </w:p>
        </w:tc>
        <w:tc>
          <w:tcPr>
            <w:tcW w:w="1577" w:type="dxa"/>
            <w:vAlign w:val="center"/>
          </w:tcPr>
          <w:p>
            <w:pPr>
              <w:widowControl/>
              <w:rPr>
                <w:rFonts w:ascii="宋体" w:hAnsi="宋体" w:cs="宋体"/>
                <w:color w:val="auto"/>
                <w:kern w:val="0"/>
                <w:sz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537B87"/>
    <w:multiLevelType w:val="singleLevel"/>
    <w:tmpl w:val="E5537B8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MyMmI2YzFkNTAzMjExNWZkYTViNGE0MDE1NjI1MmIifQ=="/>
  </w:docVars>
  <w:rsids>
    <w:rsidRoot w:val="000B5E3D"/>
    <w:rsid w:val="000A0122"/>
    <w:rsid w:val="000B5E3D"/>
    <w:rsid w:val="00157A2C"/>
    <w:rsid w:val="00264F69"/>
    <w:rsid w:val="002B0578"/>
    <w:rsid w:val="002B2F56"/>
    <w:rsid w:val="00336851"/>
    <w:rsid w:val="003C7EB4"/>
    <w:rsid w:val="00494A55"/>
    <w:rsid w:val="00587858"/>
    <w:rsid w:val="005A1581"/>
    <w:rsid w:val="00651B09"/>
    <w:rsid w:val="006628A9"/>
    <w:rsid w:val="006E4FBA"/>
    <w:rsid w:val="00760ECE"/>
    <w:rsid w:val="00760F0E"/>
    <w:rsid w:val="008E7BE9"/>
    <w:rsid w:val="00922E49"/>
    <w:rsid w:val="00B35A0A"/>
    <w:rsid w:val="00B65DC7"/>
    <w:rsid w:val="00C45DCD"/>
    <w:rsid w:val="00EB1859"/>
    <w:rsid w:val="00F53051"/>
    <w:rsid w:val="00F55647"/>
    <w:rsid w:val="03CC21CB"/>
    <w:rsid w:val="03DB11C6"/>
    <w:rsid w:val="04096F7B"/>
    <w:rsid w:val="06950D28"/>
    <w:rsid w:val="06BD5DFB"/>
    <w:rsid w:val="07177C01"/>
    <w:rsid w:val="072A7934"/>
    <w:rsid w:val="078C2D05"/>
    <w:rsid w:val="0808579C"/>
    <w:rsid w:val="086E1AA3"/>
    <w:rsid w:val="0A516F86"/>
    <w:rsid w:val="0B1C75E2"/>
    <w:rsid w:val="0C193513"/>
    <w:rsid w:val="0F4E1CE6"/>
    <w:rsid w:val="113F0C97"/>
    <w:rsid w:val="12977E48"/>
    <w:rsid w:val="12BE3627"/>
    <w:rsid w:val="12DE4C0A"/>
    <w:rsid w:val="13651CF4"/>
    <w:rsid w:val="13A520F1"/>
    <w:rsid w:val="14CF38C9"/>
    <w:rsid w:val="15A031F7"/>
    <w:rsid w:val="15BD7BC5"/>
    <w:rsid w:val="160C28FB"/>
    <w:rsid w:val="174E26C0"/>
    <w:rsid w:val="181E2472"/>
    <w:rsid w:val="18B74DA0"/>
    <w:rsid w:val="18C51FBC"/>
    <w:rsid w:val="19CA22D0"/>
    <w:rsid w:val="1A454E16"/>
    <w:rsid w:val="1C135BE6"/>
    <w:rsid w:val="1CC62D95"/>
    <w:rsid w:val="1D077978"/>
    <w:rsid w:val="1E544E3F"/>
    <w:rsid w:val="20D3029D"/>
    <w:rsid w:val="20D81D57"/>
    <w:rsid w:val="218C463E"/>
    <w:rsid w:val="22A31EF1"/>
    <w:rsid w:val="24DE1906"/>
    <w:rsid w:val="275B6B14"/>
    <w:rsid w:val="28D15A0A"/>
    <w:rsid w:val="29EB2AFB"/>
    <w:rsid w:val="2A8D3BB3"/>
    <w:rsid w:val="2A992557"/>
    <w:rsid w:val="2AD378EC"/>
    <w:rsid w:val="2BF1032D"/>
    <w:rsid w:val="2BF31C97"/>
    <w:rsid w:val="2CC82C80"/>
    <w:rsid w:val="2D556540"/>
    <w:rsid w:val="2D5C6165"/>
    <w:rsid w:val="2D90416D"/>
    <w:rsid w:val="2E4A5917"/>
    <w:rsid w:val="2FA5374C"/>
    <w:rsid w:val="30004E27"/>
    <w:rsid w:val="30E3452C"/>
    <w:rsid w:val="310821E5"/>
    <w:rsid w:val="31157D31"/>
    <w:rsid w:val="319677F1"/>
    <w:rsid w:val="31B45CC7"/>
    <w:rsid w:val="33022C64"/>
    <w:rsid w:val="33DC5263"/>
    <w:rsid w:val="342033A2"/>
    <w:rsid w:val="353C420B"/>
    <w:rsid w:val="35E76D60"/>
    <w:rsid w:val="36E0506A"/>
    <w:rsid w:val="3716199A"/>
    <w:rsid w:val="37C130EE"/>
    <w:rsid w:val="38B47E1D"/>
    <w:rsid w:val="39893797"/>
    <w:rsid w:val="3A080F2F"/>
    <w:rsid w:val="3BFE66BE"/>
    <w:rsid w:val="3CC52D38"/>
    <w:rsid w:val="3DCF0187"/>
    <w:rsid w:val="3DF27722"/>
    <w:rsid w:val="3E1026D9"/>
    <w:rsid w:val="3E1A3557"/>
    <w:rsid w:val="40511F85"/>
    <w:rsid w:val="41214BFD"/>
    <w:rsid w:val="412F731A"/>
    <w:rsid w:val="41711980"/>
    <w:rsid w:val="429A07C3"/>
    <w:rsid w:val="430D368B"/>
    <w:rsid w:val="440E48A0"/>
    <w:rsid w:val="468679DC"/>
    <w:rsid w:val="46BA7686"/>
    <w:rsid w:val="47C93829"/>
    <w:rsid w:val="47D12ED9"/>
    <w:rsid w:val="4A3655AD"/>
    <w:rsid w:val="4B7A3887"/>
    <w:rsid w:val="4C172B0C"/>
    <w:rsid w:val="4D4759EB"/>
    <w:rsid w:val="4D897DB2"/>
    <w:rsid w:val="4DFC4A28"/>
    <w:rsid w:val="50C57353"/>
    <w:rsid w:val="55AF05D2"/>
    <w:rsid w:val="56F72230"/>
    <w:rsid w:val="572A43B4"/>
    <w:rsid w:val="58581827"/>
    <w:rsid w:val="5ADD5F32"/>
    <w:rsid w:val="5B7B3430"/>
    <w:rsid w:val="5C2F421A"/>
    <w:rsid w:val="5CB169DD"/>
    <w:rsid w:val="5DA17B47"/>
    <w:rsid w:val="5F2C67EF"/>
    <w:rsid w:val="60F74003"/>
    <w:rsid w:val="62D41677"/>
    <w:rsid w:val="63B249CD"/>
    <w:rsid w:val="642F3009"/>
    <w:rsid w:val="643B567D"/>
    <w:rsid w:val="64E57B6C"/>
    <w:rsid w:val="6525440C"/>
    <w:rsid w:val="67A91325"/>
    <w:rsid w:val="684A57BD"/>
    <w:rsid w:val="68C71B3A"/>
    <w:rsid w:val="6A301889"/>
    <w:rsid w:val="6C441E7B"/>
    <w:rsid w:val="6D8141AA"/>
    <w:rsid w:val="6D9444B7"/>
    <w:rsid w:val="6D981C1F"/>
    <w:rsid w:val="6DA27568"/>
    <w:rsid w:val="6DF73782"/>
    <w:rsid w:val="6E0A419F"/>
    <w:rsid w:val="6F2E22B1"/>
    <w:rsid w:val="6F55769C"/>
    <w:rsid w:val="703F2826"/>
    <w:rsid w:val="71467BE4"/>
    <w:rsid w:val="719941B8"/>
    <w:rsid w:val="719C0ECE"/>
    <w:rsid w:val="73497518"/>
    <w:rsid w:val="75E1612D"/>
    <w:rsid w:val="760140DA"/>
    <w:rsid w:val="766C59F7"/>
    <w:rsid w:val="77754D7F"/>
    <w:rsid w:val="78BD69DE"/>
    <w:rsid w:val="794E20EE"/>
    <w:rsid w:val="7B9E28B4"/>
    <w:rsid w:val="7BF5648F"/>
    <w:rsid w:val="7D080444"/>
    <w:rsid w:val="7F0E1B0A"/>
    <w:rsid w:val="7F202EFD"/>
    <w:rsid w:val="7F4339B5"/>
    <w:rsid w:val="7FE707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paragraph" w:customStyle="1" w:styleId="12">
    <w:name w:val="Char"/>
    <w:basedOn w:val="1"/>
    <w:qFormat/>
    <w:uiPriority w:val="0"/>
    <w:pPr>
      <w:widowControl/>
      <w:spacing w:after="160" w:line="240" w:lineRule="exact"/>
      <w:jc w:val="left"/>
    </w:pPr>
  </w:style>
  <w:style w:type="character" w:customStyle="1" w:styleId="13">
    <w:name w:val="批注文字 Char"/>
    <w:basedOn w:val="9"/>
    <w:link w:val="2"/>
    <w:qFormat/>
    <w:uiPriority w:val="0"/>
    <w:rPr>
      <w:rFonts w:ascii="Times New Roman" w:hAnsi="Times New Roman" w:eastAsia="宋体" w:cs="Times New Roman"/>
      <w:szCs w:val="24"/>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 w:type="character" w:customStyle="1" w:styleId="16">
    <w:name w:val="font1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4</Pages>
  <Words>1963</Words>
  <Characters>1990</Characters>
  <Lines>10</Lines>
  <Paragraphs>3</Paragraphs>
  <TotalTime>32</TotalTime>
  <ScaleCrop>false</ScaleCrop>
  <LinksUpToDate>false</LinksUpToDate>
  <CharactersWithSpaces>2078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2017-07-07T06:58:00Z</dcterms:created>
  <dc:creator>asus</dc:creator>
  <cp:lastModifiedBy>颜</cp:lastModifiedBy>
  <cp:lastPrinted>2017-07-17T03:28:00Z</cp:lastPrinted>
  <dcterms:modified xsi:type="dcterms:W3CDTF">2023-05-22T02:43:54Z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1A4C3B6F45DF44ED9DBF48B96BAB6C4D</vt:lpwstr>
  </property>
</Properties>
</file>