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Times New Roman" w:hAnsi="Times New Roman" w:eastAsia="方正小标宋简体" w:cs="Times New Roman"/>
          <w:color w:val="000000"/>
          <w:sz w:val="32"/>
          <w:szCs w:val="32"/>
        </w:rPr>
      </w:pPr>
      <w:r>
        <w:rPr>
          <w:rFonts w:hint="eastAsia" w:eastAsia="方正小标宋简体"/>
          <w:color w:val="000000"/>
          <w:sz w:val="32"/>
          <w:szCs w:val="32"/>
        </w:rPr>
        <w:t>202</w:t>
      </w:r>
      <w:r>
        <w:rPr>
          <w:rFonts w:hint="eastAsia" w:eastAsia="方正小标宋简体"/>
          <w:color w:val="000000"/>
          <w:sz w:val="32"/>
          <w:szCs w:val="32"/>
          <w:lang w:val="en-US" w:eastAsia="zh-CN"/>
        </w:rPr>
        <w:t>3</w:t>
      </w:r>
      <w:r>
        <w:rPr>
          <w:rFonts w:hint="eastAsia" w:eastAsia="方正小标宋简体"/>
          <w:color w:val="000000"/>
          <w:sz w:val="32"/>
          <w:szCs w:val="32"/>
        </w:rPr>
        <w:t>年</w:t>
      </w:r>
      <w:r>
        <w:rPr>
          <w:rFonts w:hint="eastAsia" w:ascii="Times New Roman" w:hAnsi="Times New Roman" w:eastAsia="方正小标宋简体" w:cs="Times New Roman"/>
          <w:color w:val="000000"/>
          <w:sz w:val="32"/>
          <w:szCs w:val="32"/>
        </w:rPr>
        <w:t>海珠区市场监督管理局电动自行车充电器</w:t>
      </w:r>
    </w:p>
    <w:p>
      <w:pPr>
        <w:snapToGrid w:val="0"/>
        <w:spacing w:line="360" w:lineRule="auto"/>
        <w:jc w:val="center"/>
        <w:rPr>
          <w:rFonts w:ascii="Times New Roman" w:hAnsi="Times New Roman" w:eastAsia="方正小标宋简体" w:cs="Times New Roman"/>
          <w:color w:val="000000"/>
          <w:sz w:val="32"/>
          <w:szCs w:val="32"/>
        </w:rPr>
      </w:pPr>
      <w:r>
        <w:rPr>
          <w:rFonts w:hint="eastAsia" w:ascii="Times New Roman" w:hAnsi="Times New Roman" w:eastAsia="方正小标宋简体" w:cs="Times New Roman"/>
          <w:color w:val="000000"/>
          <w:sz w:val="32"/>
          <w:szCs w:val="32"/>
        </w:rPr>
        <w:t>产品质量监督抽查实施细则</w:t>
      </w: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1 </w:t>
      </w:r>
      <w:r>
        <w:rPr>
          <w:rFonts w:ascii="Times New Roman" w:hAnsi="Times New Roman" w:eastAsia="黑体" w:cs="Times New Roman"/>
          <w:color w:val="000000"/>
          <w:szCs w:val="21"/>
        </w:rPr>
        <w:t>抽样方法</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pPr>
        <w:adjustRightInd w:val="0"/>
        <w:snapToGrid w:val="0"/>
        <w:spacing w:line="360" w:lineRule="auto"/>
        <w:ind w:firstLine="420"/>
        <w:rPr>
          <w:rFonts w:ascii="Times New Roman" w:hAnsi="Times New Roman" w:cs="Times New Roman"/>
          <w:color w:val="000000"/>
          <w:szCs w:val="21"/>
        </w:rPr>
      </w:pPr>
      <w:r>
        <w:rPr>
          <w:rFonts w:ascii="Times New Roman" w:hAnsi="Times New Roman" w:cs="Times New Roman"/>
          <w:color w:val="000000"/>
          <w:szCs w:val="21"/>
        </w:rPr>
        <w:t>抽查样品基数</w:t>
      </w:r>
      <w:r>
        <w:rPr>
          <w:rFonts w:hint="eastAsia" w:ascii="Times New Roman" w:hAnsi="Times New Roman" w:cs="Times New Roman"/>
          <w:color w:val="000000"/>
          <w:szCs w:val="21"/>
        </w:rPr>
        <w:t>应</w:t>
      </w:r>
      <w:r>
        <w:rPr>
          <w:rFonts w:ascii="Times New Roman" w:hAnsi="Times New Roman" w:cs="Times New Roman"/>
          <w:color w:val="000000"/>
          <w:szCs w:val="21"/>
        </w:rPr>
        <w:t>满足抽样数量</w:t>
      </w:r>
      <w:r>
        <w:rPr>
          <w:rFonts w:hint="eastAsia" w:ascii="Times New Roman" w:hAnsi="Times New Roman" w:cs="Times New Roman"/>
          <w:color w:val="000000"/>
          <w:szCs w:val="21"/>
        </w:rPr>
        <w:t>要求</w:t>
      </w:r>
      <w:r>
        <w:rPr>
          <w:rFonts w:ascii="Times New Roman" w:hAnsi="Times New Roman" w:cs="Times New Roman"/>
          <w:color w:val="000000"/>
          <w:szCs w:val="21"/>
        </w:rPr>
        <w:t>。</w:t>
      </w:r>
    </w:p>
    <w:p>
      <w:pPr>
        <w:adjustRightInd w:val="0"/>
        <w:snapToGrid w:val="0"/>
        <w:spacing w:line="360" w:lineRule="auto"/>
        <w:ind w:firstLine="420" w:firstLineChars="200"/>
        <w:rPr>
          <w:rFonts w:ascii="Times New Roman" w:hAnsi="Times New Roman" w:eastAsia="宋体" w:cs="Times New Roman"/>
          <w:kern w:val="0"/>
          <w:szCs w:val="21"/>
          <w:highlight w:val="yellow"/>
        </w:rPr>
      </w:pPr>
      <w:r>
        <w:rPr>
          <w:rFonts w:ascii="Times New Roman" w:hAnsi="Times New Roman" w:eastAsia="宋体" w:cs="Times New Roman"/>
          <w:kern w:val="0"/>
          <w:szCs w:val="21"/>
        </w:rPr>
        <w:t>每批次产品抽取样品3台，其中2台为检验样品，1台作为备用样品。</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rPr>
          <w:rFonts w:ascii="Times New Roman" w:hAnsi="Times New Roman" w:eastAsia="黑体"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2 检验依据</w:t>
      </w:r>
    </w:p>
    <w:p>
      <w:pPr>
        <w:adjustRightInd w:val="0"/>
        <w:snapToGrid w:val="0"/>
        <w:spacing w:line="360" w:lineRule="auto"/>
        <w:ind w:firstLine="420" w:firstLineChars="200"/>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本次抽查检验项目和检验方法依据见表1。</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表1检验项目</w:t>
      </w:r>
    </w:p>
    <w:tbl>
      <w:tblPr>
        <w:tblStyle w:val="7"/>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2431"/>
        <w:gridCol w:w="2334"/>
        <w:gridCol w:w="2316"/>
        <w:gridCol w:w="1101"/>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87"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431"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2334"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color w:val="000000"/>
                <w:szCs w:val="21"/>
              </w:rPr>
              <w:t>检验依据</w:t>
            </w:r>
          </w:p>
        </w:tc>
        <w:tc>
          <w:tcPr>
            <w:tcW w:w="2316" w:type="dxa"/>
            <w:vMerge w:val="restart"/>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2100" w:type="dxa"/>
            <w:gridSpan w:val="2"/>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87"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431"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A类</w:t>
            </w:r>
            <w:r>
              <w:rPr>
                <w:rFonts w:ascii="Times New Roman" w:hAnsi="Times New Roman" w:cs="Times New Roman"/>
                <w:color w:val="000000"/>
                <w:szCs w:val="21"/>
                <w:vertAlign w:val="superscript"/>
              </w:rPr>
              <w:t>a</w:t>
            </w:r>
          </w:p>
        </w:tc>
        <w:tc>
          <w:tcPr>
            <w:tcW w:w="999" w:type="dxa"/>
            <w:vAlign w:val="center"/>
          </w:tcPr>
          <w:p>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B类</w:t>
            </w:r>
            <w:r>
              <w:rPr>
                <w:rFonts w:ascii="Times New Roman" w:hAnsi="Times New Roman" w:cs="Times New Roman"/>
                <w:color w:val="000000"/>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1</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对触及带电部件的防护</w:t>
            </w:r>
          </w:p>
        </w:tc>
        <w:tc>
          <w:tcPr>
            <w:tcW w:w="2334"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GB 4706.1-2005</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GB 4706.1</w:t>
            </w:r>
            <w:r>
              <w:rPr>
                <w:rFonts w:hint="eastAsia" w:ascii="Times New Roman" w:hAnsi="Times New Roman" w:eastAsia="宋体" w:cs="Times New Roman"/>
                <w:kern w:val="0"/>
                <w:szCs w:val="21"/>
              </w:rPr>
              <w:t>8</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14</w:t>
            </w:r>
          </w:p>
        </w:tc>
        <w:tc>
          <w:tcPr>
            <w:tcW w:w="2316"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GB 4706.1-2005</w:t>
            </w:r>
          </w:p>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GB 4706.1</w:t>
            </w:r>
            <w:r>
              <w:rPr>
                <w:rFonts w:hint="eastAsia" w:ascii="Times New Roman" w:hAnsi="Times New Roman" w:eastAsia="宋体" w:cs="Times New Roman"/>
                <w:kern w:val="0"/>
                <w:szCs w:val="21"/>
              </w:rPr>
              <w:t>8</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14</w:t>
            </w: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2</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输入功率和电流</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3</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发热</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4</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工作温度下的泄漏电流和电气强度</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5</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变压器和相关电路的过载保护</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6</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机械强度</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7</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内部布线</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87" w:type="dxa"/>
            <w:vAlign w:val="center"/>
          </w:tcPr>
          <w:p>
            <w:pPr>
              <w:adjustRightInd w:val="0"/>
              <w:snapToGrid w:val="0"/>
              <w:spacing w:line="360" w:lineRule="auto"/>
              <w:jc w:val="center"/>
              <w:rPr>
                <w:rFonts w:ascii="Times New Roman" w:hAnsi="Times New Roman" w:cs="Times New Roman"/>
                <w:color w:val="000000"/>
                <w:szCs w:val="21"/>
              </w:rPr>
            </w:pPr>
            <w:r>
              <w:rPr>
                <w:rFonts w:hint="eastAsia" w:ascii="Times New Roman" w:hAnsi="Times New Roman" w:eastAsia="宋体" w:cs="Times New Roman"/>
                <w:kern w:val="0"/>
                <w:szCs w:val="21"/>
              </w:rPr>
              <w:t>8</w:t>
            </w:r>
          </w:p>
        </w:tc>
        <w:tc>
          <w:tcPr>
            <w:tcW w:w="2431" w:type="dxa"/>
            <w:vAlign w:val="center"/>
          </w:tcPr>
          <w:p>
            <w:pPr>
              <w:widowControl/>
              <w:adjustRightInd w:val="0"/>
              <w:snapToGrid w:val="0"/>
              <w:spacing w:line="360" w:lineRule="auto"/>
              <w:jc w:val="center"/>
              <w:rPr>
                <w:rFonts w:ascii="Times New Roman" w:hAnsi="Times New Roman" w:cs="Times New Roman"/>
                <w:color w:val="000000"/>
                <w:szCs w:val="21"/>
              </w:rPr>
            </w:pPr>
            <w:r>
              <w:rPr>
                <w:rFonts w:ascii="Times New Roman" w:hAnsi="Times New Roman" w:eastAsia="宋体" w:cs="Times New Roman"/>
                <w:kern w:val="0"/>
                <w:szCs w:val="21"/>
              </w:rPr>
              <w:t>电气间隙、爬电距离和固体绝缘</w:t>
            </w:r>
          </w:p>
        </w:tc>
        <w:tc>
          <w:tcPr>
            <w:tcW w:w="2334"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2316" w:type="dxa"/>
            <w:vMerge w:val="continue"/>
            <w:vAlign w:val="center"/>
          </w:tcPr>
          <w:p>
            <w:pPr>
              <w:adjustRightInd w:val="0"/>
              <w:snapToGrid w:val="0"/>
              <w:spacing w:line="360" w:lineRule="auto"/>
              <w:jc w:val="center"/>
              <w:rPr>
                <w:rFonts w:ascii="Times New Roman" w:hAnsi="Times New Roman" w:cs="Times New Roman"/>
                <w:color w:val="000000"/>
                <w:szCs w:val="21"/>
              </w:rPr>
            </w:pPr>
          </w:p>
        </w:tc>
        <w:tc>
          <w:tcPr>
            <w:tcW w:w="1101"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宋体" w:hAnsi="宋体"/>
                <w:szCs w:val="21"/>
              </w:rPr>
              <w:t>●</w:t>
            </w:r>
          </w:p>
        </w:tc>
        <w:tc>
          <w:tcPr>
            <w:tcW w:w="999" w:type="dxa"/>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9768" w:type="dxa"/>
            <w:gridSpan w:val="6"/>
            <w:vAlign w:val="center"/>
          </w:tcPr>
          <w:p>
            <w:pPr>
              <w:snapToGrid w:val="0"/>
              <w:spacing w:line="320" w:lineRule="exact"/>
              <w:rPr>
                <w:rFonts w:ascii="Times New Roman" w:hAnsi="Times New Roman" w:cs="Times New Roman"/>
                <w:color w:val="000000"/>
                <w:sz w:val="18"/>
                <w:szCs w:val="18"/>
              </w:rPr>
            </w:pPr>
            <w:r>
              <w:rPr>
                <w:rFonts w:ascii="Times New Roman" w:hAnsi="Times New Roman" w:cs="Times New Roman"/>
                <w:color w:val="000000"/>
                <w:sz w:val="18"/>
                <w:szCs w:val="18"/>
              </w:rPr>
              <w:t>a极重要质量项目。</w:t>
            </w:r>
          </w:p>
          <w:p>
            <w:pPr>
              <w:adjustRightInd w:val="0"/>
              <w:snapToGrid w:val="0"/>
              <w:spacing w:line="360" w:lineRule="auto"/>
              <w:jc w:val="left"/>
              <w:rPr>
                <w:rFonts w:ascii="宋体" w:hAnsi="宋体"/>
                <w:szCs w:val="21"/>
              </w:rPr>
            </w:pPr>
            <w:r>
              <w:rPr>
                <w:rFonts w:ascii="Times New Roman" w:hAnsi="Times New Roman" w:cs="Times New Roman"/>
                <w:color w:val="000000"/>
                <w:sz w:val="18"/>
                <w:szCs w:val="18"/>
              </w:rPr>
              <w:t>b重要质量项目。</w:t>
            </w:r>
          </w:p>
        </w:tc>
      </w:tr>
    </w:tbl>
    <w:p>
      <w:pPr>
        <w:adjustRightInd w:val="0"/>
        <w:snapToGrid w:val="0"/>
        <w:spacing w:line="360" w:lineRule="auto"/>
        <w:ind w:firstLine="420" w:firstLineChars="200"/>
        <w:rPr>
          <w:rFonts w:ascii="Times New Roman" w:hAnsi="Times New Roman" w:cs="Times New Roman"/>
          <w:color w:val="000000"/>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Times New Roman" w:hAnsi="Times New Roman" w:cs="Times New Roman" w:eastAsiaTheme="minorEastAsia"/>
          <w:color w:val="000000"/>
          <w:szCs w:val="21"/>
          <w:lang w:eastAsia="zh-CN"/>
        </w:rPr>
      </w:pPr>
      <w:r>
        <w:rPr>
          <w:rFonts w:hint="default" w:ascii="Times New Roman" w:hAnsi="Times New Roman" w:cs="Times New Roman"/>
          <w:color w:val="000000"/>
          <w:szCs w:val="21"/>
        </w:rPr>
        <w:t>表</w:t>
      </w:r>
      <w:r>
        <w:rPr>
          <w:rFonts w:hint="eastAsia" w:ascii="Times New Roman" w:hAnsi="Times New Roman" w:cs="Times New Roman"/>
          <w:color w:val="000000"/>
          <w:szCs w:val="21"/>
          <w:lang w:val="en-US" w:eastAsia="zh-CN"/>
        </w:rPr>
        <w:t xml:space="preserve">2 </w:t>
      </w:r>
      <w:r>
        <w:rPr>
          <w:rFonts w:hint="default" w:ascii="Times New Roman" w:hAnsi="Times New Roman" w:cs="Times New Roman"/>
          <w:color w:val="000000"/>
          <w:szCs w:val="21"/>
        </w:rPr>
        <w:t>检验项目</w:t>
      </w:r>
      <w:r>
        <w:rPr>
          <w:rFonts w:hint="eastAsia" w:ascii="Times New Roman" w:hAnsi="Times New Roman" w:cs="Times New Roman"/>
          <w:color w:val="000000"/>
          <w:szCs w:val="21"/>
          <w:lang w:eastAsia="zh-CN"/>
        </w:rPr>
        <w:t>（</w:t>
      </w:r>
      <w:r>
        <w:rPr>
          <w:rFonts w:hint="eastAsia" w:ascii="Times New Roman" w:hAnsi="Times New Roman" w:cs="Times New Roman"/>
          <w:color w:val="000000"/>
          <w:szCs w:val="21"/>
          <w:lang w:val="en-US" w:eastAsia="zh-CN"/>
        </w:rPr>
        <w:t>注：样品标称在2023年7月1日（含）以后生产</w:t>
      </w:r>
      <w:r>
        <w:rPr>
          <w:rFonts w:hint="eastAsia" w:ascii="Times New Roman" w:hAnsi="Times New Roman" w:cs="Times New Roman"/>
          <w:color w:val="000000"/>
          <w:szCs w:val="21"/>
          <w:lang w:eastAsia="zh-CN"/>
        </w:rPr>
        <w:t>）</w:t>
      </w:r>
    </w:p>
    <w:tbl>
      <w:tblPr>
        <w:tblStyle w:val="7"/>
        <w:tblW w:w="9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2073"/>
        <w:gridCol w:w="2250"/>
        <w:gridCol w:w="2213"/>
        <w:gridCol w:w="1125"/>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6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序号</w:t>
            </w:r>
          </w:p>
        </w:tc>
        <w:tc>
          <w:tcPr>
            <w:tcW w:w="207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检验项目</w:t>
            </w:r>
          </w:p>
        </w:tc>
        <w:tc>
          <w:tcPr>
            <w:tcW w:w="22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pacing w:val="0"/>
                <w:w w:val="100"/>
                <w:kern w:val="2"/>
                <w:position w:val="0"/>
                <w:sz w:val="21"/>
                <w:szCs w:val="21"/>
                <w:shd w:val="clear" w:color="auto" w:fill="auto"/>
                <w:lang w:eastAsia="zh-CN" w:bidi="ar-SA"/>
              </w:rPr>
              <w:t>检验依据</w:t>
            </w:r>
          </w:p>
        </w:tc>
        <w:tc>
          <w:tcPr>
            <w:tcW w:w="22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检验方法</w:t>
            </w:r>
          </w:p>
        </w:tc>
        <w:tc>
          <w:tcPr>
            <w:tcW w:w="2334" w:type="dxa"/>
            <w:gridSpan w:val="2"/>
            <w:vAlign w:val="center"/>
          </w:tcPr>
          <w:p>
            <w:pPr>
              <w:snapToGrid w:val="0"/>
              <w:spacing w:line="32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color w:val="000000"/>
                <w:sz w:val="21"/>
                <w:szCs w:val="21"/>
                <w:highlight w:val="none"/>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07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snapToGrid w:val="0"/>
              <w:spacing w:line="32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color w:val="000000"/>
                <w:sz w:val="21"/>
                <w:szCs w:val="21"/>
                <w:highlight w:val="none"/>
              </w:rPr>
              <w:t>A类</w:t>
            </w:r>
            <w:r>
              <w:rPr>
                <w:rFonts w:hint="default" w:ascii="Times New Roman" w:hAnsi="Times New Roman" w:cs="Times New Roman"/>
                <w:color w:val="000000"/>
                <w:sz w:val="21"/>
                <w:szCs w:val="21"/>
                <w:highlight w:val="none"/>
                <w:vertAlign w:val="superscript"/>
                <w:lang w:val="en-US" w:eastAsia="zh-CN"/>
              </w:rPr>
              <w:t>a</w:t>
            </w:r>
          </w:p>
        </w:tc>
        <w:tc>
          <w:tcPr>
            <w:tcW w:w="1209" w:type="dxa"/>
            <w:vAlign w:val="center"/>
          </w:tcPr>
          <w:p>
            <w:pPr>
              <w:snapToGrid w:val="0"/>
              <w:spacing w:line="32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color w:val="000000"/>
                <w:sz w:val="21"/>
                <w:szCs w:val="21"/>
                <w:highlight w:val="none"/>
              </w:rPr>
              <w:t>B类</w:t>
            </w:r>
            <w:r>
              <w:rPr>
                <w:rFonts w:hint="default" w:ascii="Times New Roman" w:hAnsi="Times New Roman" w:cs="Times New Roman"/>
                <w:color w:val="000000"/>
                <w:sz w:val="21"/>
                <w:szCs w:val="21"/>
                <w:highlight w:val="none"/>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1</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外壳冲击</w:t>
            </w:r>
          </w:p>
        </w:tc>
        <w:tc>
          <w:tcPr>
            <w:tcW w:w="22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GB 42296-2022</w:t>
            </w:r>
          </w:p>
        </w:tc>
        <w:tc>
          <w:tcPr>
            <w:tcW w:w="22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r>
              <w:rPr>
                <w:rFonts w:hint="eastAsia" w:ascii="Times New Roman" w:hAnsi="Times New Roman" w:cs="Times New Roman"/>
                <w:color w:val="000000"/>
                <w:sz w:val="21"/>
                <w:szCs w:val="21"/>
                <w:lang w:val="en-US" w:eastAsia="zh-CN"/>
              </w:rPr>
              <w:t>GB 42296-2022</w:t>
            </w: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2</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结构</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3</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内部布线</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4</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工作温度下的泄漏电流</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5</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电气强度</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6</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电气间隙、爬电距离和固体绝缘</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7</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防触电保护</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8</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充电参数</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9</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电源软线及输出线</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10</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接地措施</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szCs w:val="21"/>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11</w:t>
            </w:r>
          </w:p>
        </w:tc>
        <w:tc>
          <w:tcPr>
            <w:tcW w:w="207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输出接口安全性</w:t>
            </w:r>
          </w:p>
        </w:tc>
        <w:tc>
          <w:tcPr>
            <w:tcW w:w="22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22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rPr>
            </w:pPr>
          </w:p>
        </w:tc>
        <w:tc>
          <w:tcPr>
            <w:tcW w:w="11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szCs w:val="21"/>
              </w:rPr>
            </w:pPr>
            <w:r>
              <w:rPr>
                <w:rFonts w:hint="eastAsia" w:ascii="宋体" w:hAnsi="宋体"/>
                <w:szCs w:val="21"/>
              </w:rPr>
              <w:t>●</w:t>
            </w:r>
          </w:p>
        </w:tc>
        <w:tc>
          <w:tcPr>
            <w:tcW w:w="12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9431" w:type="dxa"/>
            <w:gridSpan w:val="6"/>
          </w:tcPr>
          <w:p>
            <w:pPr>
              <w:snapToGrid w:val="0"/>
              <w:spacing w:line="320" w:lineRule="exact"/>
              <w:jc w:val="both"/>
              <w:rPr>
                <w:rFonts w:hint="default" w:ascii="Times New Roman" w:hAnsi="Times New Roman" w:cs="Times New Roman"/>
                <w:color w:val="000000"/>
                <w:sz w:val="18"/>
                <w:szCs w:val="18"/>
                <w:highlight w:val="none"/>
                <w:lang w:eastAsia="zh-CN"/>
              </w:rPr>
            </w:pPr>
            <w:r>
              <w:rPr>
                <w:rFonts w:hint="default" w:ascii="Times New Roman" w:hAnsi="Times New Roman" w:cs="Times New Roman"/>
                <w:color w:val="000000"/>
                <w:sz w:val="18"/>
                <w:szCs w:val="18"/>
                <w:highlight w:val="none"/>
                <w:lang w:val="en-US" w:eastAsia="zh-CN"/>
              </w:rPr>
              <w:t>a</w:t>
            </w:r>
            <w:r>
              <w:rPr>
                <w:rFonts w:hint="default" w:ascii="Times New Roman" w:hAnsi="Times New Roman" w:cs="Times New Roman"/>
                <w:color w:val="000000"/>
                <w:sz w:val="18"/>
                <w:szCs w:val="18"/>
                <w:highlight w:val="none"/>
              </w:rPr>
              <w:t>极重要质量项目</w:t>
            </w:r>
            <w:r>
              <w:rPr>
                <w:rFonts w:hint="default" w:ascii="Times New Roman" w:hAnsi="Times New Roman" w:cs="Times New Roman"/>
                <w:color w:val="000000"/>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szCs w:val="21"/>
              </w:rPr>
            </w:pPr>
            <w:r>
              <w:rPr>
                <w:rFonts w:hint="default" w:ascii="Times New Roman" w:hAnsi="Times New Roman" w:cs="Times New Roman"/>
                <w:color w:val="000000"/>
                <w:sz w:val="18"/>
                <w:szCs w:val="18"/>
                <w:highlight w:val="none"/>
                <w:lang w:val="en-US" w:eastAsia="zh-CN"/>
              </w:rPr>
              <w:t>b</w:t>
            </w:r>
            <w:r>
              <w:rPr>
                <w:rFonts w:hint="default" w:ascii="Times New Roman" w:hAnsi="Times New Roman" w:cs="Times New Roman"/>
                <w:color w:val="000000"/>
                <w:sz w:val="18"/>
                <w:szCs w:val="18"/>
                <w:highlight w:val="none"/>
              </w:rPr>
              <w:t>重要质</w:t>
            </w:r>
            <w:bookmarkStart w:id="0" w:name="_GoBack"/>
            <w:bookmarkEnd w:id="0"/>
            <w:r>
              <w:rPr>
                <w:rFonts w:hint="default" w:ascii="Times New Roman" w:hAnsi="Times New Roman" w:cs="Times New Roman"/>
                <w:color w:val="000000"/>
                <w:sz w:val="18"/>
                <w:szCs w:val="18"/>
                <w:highlight w:val="none"/>
              </w:rPr>
              <w:t>量项目</w:t>
            </w:r>
            <w:r>
              <w:rPr>
                <w:rFonts w:hint="default" w:ascii="Times New Roman" w:hAnsi="Times New Roman" w:cs="Times New Roman"/>
                <w:color w:val="000000"/>
                <w:sz w:val="18"/>
                <w:szCs w:val="18"/>
                <w:highlight w:val="none"/>
                <w:lang w:eastAsia="zh-CN"/>
              </w:rPr>
              <w:t>。</w:t>
            </w:r>
          </w:p>
        </w:tc>
      </w:tr>
    </w:tbl>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ind w:firstLine="420" w:firstLineChars="200"/>
        <w:rPr>
          <w:rFonts w:ascii="Times New Roman" w:hAnsi="Times New Roman" w:cs="Times New Roman"/>
          <w:color w:val="000000"/>
          <w:szCs w:val="21"/>
        </w:rPr>
      </w:pPr>
      <w:r>
        <w:rPr>
          <w:rFonts w:hint="eastAsia" w:ascii="Times New Roman" w:hAnsi="Times New Roman" w:eastAsia="宋体" w:cs="Times New Roman"/>
          <w:color w:val="000000"/>
          <w:szCs w:val="21"/>
          <w:lang w:val="zh-TW" w:eastAsia="zh-TW"/>
        </w:rPr>
        <w:t>执行企业标准、团体标准、地方标准的产品，检验项目参照上述内容执行。</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color w:val="000000"/>
          <w:szCs w:val="21"/>
        </w:rPr>
      </w:pPr>
    </w:p>
    <w:p>
      <w:pPr>
        <w:adjustRightInd w:val="0"/>
        <w:snapToGrid w:val="0"/>
        <w:spacing w:line="360" w:lineRule="auto"/>
        <w:rPr>
          <w:rFonts w:ascii="Times New Roman" w:hAnsi="Times New Roman" w:eastAsia="黑体" w:cs="Times New Roman"/>
          <w:color w:val="000000"/>
          <w:szCs w:val="21"/>
        </w:rPr>
      </w:pPr>
      <w:r>
        <w:rPr>
          <w:rFonts w:ascii="Times New Roman" w:hAnsi="Times New Roman" w:eastAsia="黑体" w:cs="Times New Roman"/>
          <w:color w:val="000000"/>
          <w:szCs w:val="21"/>
        </w:rPr>
        <w:t>3 判定规则</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3.1依据标准</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4706.1-2005《家用和类似用途电器的安全  第1部分：通用要求》</w:t>
      </w:r>
    </w:p>
    <w:p>
      <w:pPr>
        <w:adjustRightInd w:val="0"/>
        <w:snapToGrid w:val="0"/>
        <w:spacing w:line="360" w:lineRule="auto"/>
        <w:ind w:firstLine="420"/>
        <w:rPr>
          <w:rFonts w:ascii="Times New Roman" w:hAnsi="Times New Roman" w:eastAsia="宋体" w:cs="Times New Roman"/>
          <w:kern w:val="0"/>
          <w:szCs w:val="21"/>
        </w:rPr>
      </w:pPr>
      <w:r>
        <w:rPr>
          <w:rFonts w:ascii="Times New Roman" w:hAnsi="Times New Roman" w:eastAsia="宋体" w:cs="Times New Roman"/>
          <w:kern w:val="0"/>
          <w:szCs w:val="21"/>
        </w:rPr>
        <w:t>GB 4706.1</w:t>
      </w:r>
      <w:r>
        <w:rPr>
          <w:rFonts w:hint="eastAsia" w:ascii="Times New Roman" w:hAnsi="Times New Roman" w:eastAsia="宋体" w:cs="Times New Roman"/>
          <w:kern w:val="0"/>
          <w:szCs w:val="21"/>
        </w:rPr>
        <w:t>8</w:t>
      </w:r>
      <w:r>
        <w:rPr>
          <w:rFonts w:ascii="Times New Roman" w:hAnsi="Times New Roman" w:eastAsia="宋体" w:cs="Times New Roman"/>
          <w:kern w:val="0"/>
          <w:szCs w:val="21"/>
        </w:rPr>
        <w:t>-20</w:t>
      </w:r>
      <w:r>
        <w:rPr>
          <w:rFonts w:hint="eastAsia" w:ascii="Times New Roman" w:hAnsi="Times New Roman" w:eastAsia="宋体" w:cs="Times New Roman"/>
          <w:kern w:val="0"/>
          <w:szCs w:val="21"/>
        </w:rPr>
        <w:t>14</w:t>
      </w:r>
      <w:r>
        <w:rPr>
          <w:rFonts w:ascii="Times New Roman" w:hAnsi="Times New Roman" w:eastAsia="宋体" w:cs="Times New Roman"/>
          <w:kern w:val="0"/>
          <w:szCs w:val="21"/>
        </w:rPr>
        <w:t xml:space="preserve">《家用和类似用途电器的安全 </w:t>
      </w:r>
      <w:r>
        <w:rPr>
          <w:rFonts w:hint="eastAsia" w:ascii="Times New Roman" w:hAnsi="Times New Roman" w:eastAsia="宋体" w:cs="Times New Roman"/>
          <w:kern w:val="0"/>
          <w:szCs w:val="21"/>
        </w:rPr>
        <w:t>电池充电器</w:t>
      </w:r>
      <w:r>
        <w:rPr>
          <w:rFonts w:ascii="Times New Roman" w:hAnsi="Times New Roman" w:eastAsia="宋体" w:cs="Times New Roman"/>
          <w:kern w:val="0"/>
          <w:szCs w:val="21"/>
        </w:rPr>
        <w:t>的特殊要求》</w:t>
      </w:r>
    </w:p>
    <w:p>
      <w:pPr>
        <w:adjustRightInd w:val="0"/>
        <w:snapToGrid w:val="0"/>
        <w:spacing w:line="360" w:lineRule="auto"/>
        <w:ind w:firstLine="420"/>
        <w:rPr>
          <w:rFonts w:ascii="Times New Roman" w:hAnsi="Times New Roman" w:eastAsia="宋体" w:cs="Times New Roman"/>
          <w:kern w:val="0"/>
          <w:szCs w:val="21"/>
        </w:rPr>
      </w:pPr>
      <w:r>
        <w:rPr>
          <w:rFonts w:hint="eastAsia" w:ascii="Times New Roman" w:hAnsi="Times New Roman" w:cs="Times New Roman"/>
          <w:color w:val="000000"/>
          <w:sz w:val="21"/>
          <w:szCs w:val="21"/>
          <w:lang w:val="en-US" w:eastAsia="zh-CN"/>
        </w:rPr>
        <w:t>GB 42296-2022</w:t>
      </w:r>
      <w:r>
        <w:rPr>
          <w:rFonts w:hint="eastAsia" w:ascii="Times New Roman" w:hAnsi="Times New Roman" w:cs="Times New Roman"/>
          <w:lang w:val="en-US" w:eastAsia="zh-CN"/>
        </w:rPr>
        <w:t>《</w:t>
      </w:r>
      <w:r>
        <w:rPr>
          <w:rFonts w:hint="default" w:ascii="Times New Roman" w:hAnsi="Times New Roman" w:cs="Times New Roman"/>
          <w:lang w:val="en-US" w:eastAsia="zh-CN"/>
        </w:rPr>
        <w:t>电动自行车用充电器安全技术要求</w:t>
      </w:r>
      <w:r>
        <w:rPr>
          <w:rFonts w:hint="eastAsia" w:ascii="Times New Roman" w:hAnsi="Times New Roman" w:cs="Times New Roman"/>
          <w:lang w:val="en-US" w:eastAsia="zh-CN"/>
        </w:rPr>
        <w:t>》</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3.2判定原则</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color w:val="000000"/>
          <w:szCs w:val="21"/>
        </w:rPr>
      </w:pPr>
      <w:r>
        <w:rPr>
          <w:rFonts w:ascii="Times New Roman" w:hAnsi="Times New Roman" w:cs="Times New Roman"/>
          <w:color w:val="000000"/>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cs="Times New Roma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ZjE3MDcyMTE0ZDY0N2I1ZGJmYTY0Mjk4MTRmYWYifQ=="/>
  </w:docVars>
  <w:rsids>
    <w:rsidRoot w:val="12393256"/>
    <w:rsid w:val="002A143E"/>
    <w:rsid w:val="0055491C"/>
    <w:rsid w:val="005A6630"/>
    <w:rsid w:val="00A33068"/>
    <w:rsid w:val="00A8568C"/>
    <w:rsid w:val="00AE15D2"/>
    <w:rsid w:val="00AF753D"/>
    <w:rsid w:val="00BD1056"/>
    <w:rsid w:val="00BE0ED1"/>
    <w:rsid w:val="00D65E4C"/>
    <w:rsid w:val="00D845B4"/>
    <w:rsid w:val="00DB5FA6"/>
    <w:rsid w:val="00E167B0"/>
    <w:rsid w:val="00E73F3C"/>
    <w:rsid w:val="06331780"/>
    <w:rsid w:val="08A24D61"/>
    <w:rsid w:val="091C6251"/>
    <w:rsid w:val="0C17734B"/>
    <w:rsid w:val="11715A74"/>
    <w:rsid w:val="12393256"/>
    <w:rsid w:val="130A1CF0"/>
    <w:rsid w:val="171C5BD2"/>
    <w:rsid w:val="1C644553"/>
    <w:rsid w:val="21060E20"/>
    <w:rsid w:val="25E06AC8"/>
    <w:rsid w:val="2E542413"/>
    <w:rsid w:val="30410330"/>
    <w:rsid w:val="3287622A"/>
    <w:rsid w:val="3DAB3E8E"/>
    <w:rsid w:val="3FC96753"/>
    <w:rsid w:val="40596541"/>
    <w:rsid w:val="41F302C5"/>
    <w:rsid w:val="4286093B"/>
    <w:rsid w:val="439A22E0"/>
    <w:rsid w:val="46D858A8"/>
    <w:rsid w:val="4FBF6438"/>
    <w:rsid w:val="52440C72"/>
    <w:rsid w:val="59E027F0"/>
    <w:rsid w:val="5E5A4568"/>
    <w:rsid w:val="64BE2596"/>
    <w:rsid w:val="73103743"/>
    <w:rsid w:val="7600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tabs>
        <w:tab w:val="left" w:pos="420"/>
      </w:tabs>
      <w:outlineLvl w:val="0"/>
    </w:pPr>
    <w:rPr>
      <w:rFonts w:ascii="Times New Roman" w:hAnsi="Times New Roman" w:eastAsia="黑体" w:cs="Times New Roman"/>
      <w:bCs/>
      <w:kern w:val="44"/>
      <w:sz w:val="30"/>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kern w:val="2"/>
      <w:sz w:val="18"/>
      <w:szCs w:val="18"/>
    </w:rPr>
  </w:style>
  <w:style w:type="character" w:customStyle="1" w:styleId="10">
    <w:name w:val="标题 1 Char"/>
    <w:basedOn w:val="5"/>
    <w:link w:val="2"/>
    <w:qFormat/>
    <w:uiPriority w:val="0"/>
    <w:rPr>
      <w:rFonts w:ascii="Times New Roman" w:hAnsi="Times New Roman" w:eastAsia="黑体" w:cs="Times New Roman"/>
      <w:bCs/>
      <w:kern w:val="44"/>
      <w:sz w:val="30"/>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169</Words>
  <Characters>968</Characters>
  <Lines>8</Lines>
  <Paragraphs>2</Paragraphs>
  <TotalTime>0</TotalTime>
  <ScaleCrop>false</ScaleCrop>
  <LinksUpToDate>false</LinksUpToDate>
  <CharactersWithSpaces>1135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2022-10-09T07:45:00Z</dcterms:created>
  <dc:creator>JS</dc:creator>
  <cp:lastModifiedBy>Administrator</cp:lastModifiedBy>
  <dcterms:modified xsi:type="dcterms:W3CDTF">2023-08-11T05:59:36Z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24558CB58A084D57A49F7D505408A005</vt:lpwstr>
  </property>
</Properties>
</file>