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cs="宋体" w:asciiTheme="minorEastAsia" w:hAnsiTheme="minorEastAsia"/>
          <w:b/>
          <w:color w:val="000000"/>
          <w:sz w:val="32"/>
          <w:szCs w:val="32"/>
        </w:rPr>
      </w:pPr>
      <w:r>
        <w:rPr>
          <w:rFonts w:hint="eastAsia" w:cs="宋体" w:asciiTheme="minorEastAsia" w:hAnsiTheme="minorEastAsia"/>
          <w:b/>
          <w:color w:val="000000"/>
          <w:sz w:val="32"/>
          <w:szCs w:val="32"/>
          <w:lang w:val="en-US" w:eastAsia="zh-CN"/>
        </w:rPr>
        <w:t>2023年海珠区</w:t>
      </w:r>
      <w:r>
        <w:rPr>
          <w:rFonts w:hint="eastAsia" w:cs="宋体" w:asciiTheme="minorEastAsia" w:hAnsiTheme="minorEastAsia"/>
          <w:b/>
          <w:color w:val="000000"/>
          <w:sz w:val="32"/>
          <w:szCs w:val="32"/>
        </w:rPr>
        <w:t>市场监督管理局电灭蚊器具</w:t>
      </w:r>
    </w:p>
    <w:p>
      <w:pPr>
        <w:adjustRightInd w:val="0"/>
        <w:snapToGrid w:val="0"/>
        <w:spacing w:line="360" w:lineRule="auto"/>
        <w:jc w:val="center"/>
        <w:rPr>
          <w:rFonts w:cs="宋体" w:asciiTheme="minorEastAsia" w:hAnsiTheme="minorEastAsia" w:eastAsiaTheme="minorEastAsia"/>
          <w:b/>
          <w:kern w:val="2"/>
          <w:sz w:val="32"/>
          <w:szCs w:val="32"/>
        </w:rPr>
      </w:pPr>
      <w:r>
        <w:rPr>
          <w:rFonts w:hint="eastAsia" w:cs="宋体" w:asciiTheme="minorEastAsia" w:hAnsiTheme="minorEastAsia"/>
          <w:b/>
          <w:color w:val="000000"/>
          <w:sz w:val="32"/>
          <w:szCs w:val="32"/>
        </w:rPr>
        <w:t>产品质量监督抽查实施细则</w:t>
      </w:r>
    </w:p>
    <w:p>
      <w:pPr>
        <w:adjustRightInd w:val="0"/>
        <w:snapToGrid w:val="0"/>
        <w:spacing w:line="360" w:lineRule="auto"/>
        <w:rPr>
          <w:rFonts w:ascii="Times New Roman" w:hAnsi="Times New Roman" w:eastAsia="黑体" w:cs="Times New Roman"/>
          <w:szCs w:val="21"/>
        </w:rPr>
      </w:pP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1 </w:t>
      </w:r>
      <w:r>
        <w:rPr>
          <w:rFonts w:ascii="Times New Roman" w:hAnsi="Times New Roman" w:eastAsia="黑体" w:cs="Times New Roman"/>
          <w:color w:val="000000"/>
          <w:szCs w:val="21"/>
        </w:rPr>
        <w:t>抽样方法</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在企业的待销产品中随机抽取有产品质量检验合格证明或者以其他形式表明合格的、近期生产的产品。</w:t>
      </w:r>
    </w:p>
    <w:p>
      <w:pPr>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抽查样品基数</w:t>
      </w:r>
      <w:r>
        <w:rPr>
          <w:rFonts w:hint="eastAsia" w:ascii="Times New Roman" w:hAnsi="Times New Roman" w:cs="Times New Roman"/>
        </w:rPr>
        <w:t>应</w:t>
      </w:r>
      <w:r>
        <w:rPr>
          <w:rFonts w:ascii="Times New Roman" w:hAnsi="Times New Roman" w:cs="Times New Roman"/>
        </w:rPr>
        <w:t>满足抽样数量</w:t>
      </w:r>
      <w:r>
        <w:rPr>
          <w:rFonts w:hint="eastAsia" w:ascii="Times New Roman" w:hAnsi="Times New Roman" w:cs="Times New Roman"/>
        </w:rPr>
        <w:t>要求</w:t>
      </w:r>
      <w:r>
        <w:rPr>
          <w:rFonts w:ascii="Times New Roman" w:hAnsi="Times New Roman" w:cs="Times New Roman"/>
        </w:rPr>
        <w:t>。</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rPr>
        <w:t>每批次产品抽取样品</w:t>
      </w:r>
      <w:r>
        <w:rPr>
          <w:rFonts w:hint="eastAsia" w:ascii="Times New Roman" w:hAnsi="Times New Roman" w:cs="Times New Roman"/>
        </w:rPr>
        <w:t>4</w:t>
      </w:r>
      <w:r>
        <w:rPr>
          <w:rFonts w:ascii="Times New Roman" w:hAnsi="Times New Roman" w:cs="Times New Roman"/>
        </w:rPr>
        <w:t>台，其中</w:t>
      </w:r>
      <w:r>
        <w:rPr>
          <w:rFonts w:hint="eastAsia" w:ascii="Times New Roman" w:hAnsi="Times New Roman" w:cs="Times New Roman"/>
        </w:rPr>
        <w:t>3</w:t>
      </w:r>
      <w:r>
        <w:rPr>
          <w:rFonts w:ascii="Times New Roman" w:hAnsi="Times New Roman" w:cs="Times New Roman"/>
        </w:rPr>
        <w:t>台作为检验样品，1台作为备用样品</w:t>
      </w:r>
      <w:r>
        <w:rPr>
          <w:rFonts w:ascii="Times New Roman" w:hAnsi="Times New Roman" w:cs="Times New Roman"/>
          <w:szCs w:val="21"/>
        </w:rPr>
        <w:t>。</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随机数一般可使用随机数表、随机数骰子或扑克牌等方法产生。</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2 检验依据</w:t>
      </w:r>
    </w:p>
    <w:p>
      <w:pPr>
        <w:adjustRightInd w:val="0"/>
        <w:snapToGrid w:val="0"/>
        <w:spacing w:line="360" w:lineRule="auto"/>
        <w:ind w:firstLine="420" w:firstLineChars="200"/>
        <w:jc w:val="left"/>
        <w:rPr>
          <w:rFonts w:ascii="Times New Roman" w:hAnsi="Times New Roman" w:cs="Times New Roman"/>
          <w:color w:val="000000"/>
          <w:szCs w:val="21"/>
        </w:rPr>
      </w:pPr>
      <w:r>
        <w:rPr>
          <w:rFonts w:ascii="Times New Roman" w:hAnsi="Times New Roman" w:cs="Times New Roman"/>
          <w:color w:val="000000"/>
          <w:szCs w:val="21"/>
        </w:rPr>
        <w:t>本次抽查检验项目和检验方法依据见表。</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w:t>
      </w:r>
      <w:r>
        <w:rPr>
          <w:rFonts w:hint="eastAsia" w:ascii="Times New Roman" w:hAnsi="Times New Roman" w:cs="Times New Roman"/>
          <w:color w:val="000000"/>
          <w:szCs w:val="21"/>
        </w:rPr>
        <w:t xml:space="preserve"> </w:t>
      </w:r>
      <w:r>
        <w:rPr>
          <w:rFonts w:ascii="Times New Roman" w:hAnsi="Times New Roman" w:cs="Times New Roman"/>
          <w:color w:val="000000"/>
          <w:szCs w:val="21"/>
        </w:rPr>
        <w:t>检验项目</w:t>
      </w:r>
    </w:p>
    <w:tbl>
      <w:tblPr>
        <w:tblStyle w:val="7"/>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614"/>
        <w:gridCol w:w="2390"/>
        <w:gridCol w:w="2228"/>
        <w:gridCol w:w="993"/>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641"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2614"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390"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检验依据</w:t>
            </w:r>
          </w:p>
        </w:tc>
        <w:tc>
          <w:tcPr>
            <w:tcW w:w="2228"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1895" w:type="dxa"/>
            <w:gridSpan w:val="2"/>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641"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61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902"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1</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对触及带电部件的防护</w:t>
            </w:r>
          </w:p>
        </w:tc>
        <w:tc>
          <w:tcPr>
            <w:tcW w:w="2390" w:type="dxa"/>
            <w:vMerge w:val="restart"/>
            <w:vAlign w:val="center"/>
          </w:tcPr>
          <w:p>
            <w:pPr>
              <w:adjustRightInd w:val="0"/>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GB 4706.1-2005</w:t>
            </w:r>
          </w:p>
          <w:p>
            <w:pPr>
              <w:adjustRightInd w:val="0"/>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GB 4706.76-2008</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GB 4706.81-2014</w:t>
            </w:r>
          </w:p>
        </w:tc>
        <w:tc>
          <w:tcPr>
            <w:tcW w:w="2228" w:type="dxa"/>
            <w:vMerge w:val="restart"/>
            <w:vAlign w:val="center"/>
          </w:tcPr>
          <w:p>
            <w:pPr>
              <w:adjustRightInd w:val="0"/>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GB 4706.1-2005</w:t>
            </w:r>
          </w:p>
          <w:p>
            <w:pPr>
              <w:adjustRightInd w:val="0"/>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GB 4706.76-2008</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GB 4706.81-2014</w:t>
            </w: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2</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输入功率和电流</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kern w:val="0"/>
                <w:szCs w:val="21"/>
                <w:lang w:val="en-US" w:eastAsia="zh-CN"/>
              </w:rPr>
              <w:t>3</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工作温度下的泄漏电流和电气强度</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kern w:val="0"/>
                <w:szCs w:val="21"/>
                <w:lang w:val="en-US" w:eastAsia="zh-CN"/>
              </w:rPr>
              <w:t>4</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非正常工作（不包括第19.11.4条的试验）</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kern w:val="0"/>
                <w:szCs w:val="21"/>
                <w:lang w:val="en-US" w:eastAsia="zh-CN"/>
              </w:rPr>
              <w:t>5</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稳定性和机械危险</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kern w:val="0"/>
                <w:szCs w:val="21"/>
                <w:lang w:val="en-US" w:eastAsia="zh-CN"/>
              </w:rPr>
              <w:t>6</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机械强度</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kern w:val="0"/>
                <w:szCs w:val="21"/>
                <w:lang w:val="en-US" w:eastAsia="zh-CN"/>
              </w:rPr>
              <w:t>7</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结构（不包括第22.46条的试验）</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kern w:val="0"/>
                <w:szCs w:val="21"/>
                <w:lang w:val="en-US" w:eastAsia="zh-CN"/>
              </w:rPr>
              <w:t>8</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内部布线（不包括第</w:t>
            </w:r>
            <w:r>
              <w:rPr>
                <w:rFonts w:hint="eastAsia" w:ascii="Times New Roman" w:hAnsi="Times New Roman" w:cs="Times New Roman"/>
                <w:kern w:val="0"/>
                <w:szCs w:val="21"/>
              </w:rPr>
              <w:t>23.3</w:t>
            </w:r>
            <w:r>
              <w:rPr>
                <w:rFonts w:ascii="Times New Roman" w:hAnsi="Times New Roman" w:cs="Times New Roman"/>
                <w:kern w:val="0"/>
                <w:szCs w:val="21"/>
              </w:rPr>
              <w:t>条的试验）</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kern w:val="0"/>
                <w:szCs w:val="21"/>
                <w:lang w:val="en-US" w:eastAsia="zh-CN"/>
              </w:rPr>
              <w:t>9</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电源连接和外部软线</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kern w:val="0"/>
                <w:szCs w:val="21"/>
                <w:lang w:val="en-US" w:eastAsia="zh-CN"/>
              </w:rPr>
              <w:t>10</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外部导线用接线端子</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kern w:val="0"/>
                <w:szCs w:val="21"/>
                <w:lang w:val="en-US" w:eastAsia="zh-CN"/>
              </w:rPr>
              <w:t>11</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接地措施</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641" w:type="dxa"/>
            <w:vAlign w:val="center"/>
          </w:tcPr>
          <w:p>
            <w:pPr>
              <w:adjustRightInd w:val="0"/>
              <w:snapToGrid w:val="0"/>
              <w:spacing w:line="360" w:lineRule="auto"/>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kern w:val="0"/>
                <w:szCs w:val="21"/>
                <w:lang w:val="en-US" w:eastAsia="zh-CN"/>
              </w:rPr>
              <w:t>12</w:t>
            </w:r>
          </w:p>
        </w:tc>
        <w:tc>
          <w:tcPr>
            <w:tcW w:w="2614"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kern w:val="0"/>
                <w:szCs w:val="21"/>
              </w:rPr>
              <w:t>电气间隙、爬电距离和固体绝缘</w:t>
            </w:r>
          </w:p>
        </w:tc>
        <w:tc>
          <w:tcPr>
            <w:tcW w:w="239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28"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993" w:type="dxa"/>
            <w:vAlign w:val="center"/>
          </w:tcPr>
          <w:p>
            <w:pPr>
              <w:adjustRightInd w:val="0"/>
              <w:snapToGrid w:val="0"/>
              <w:spacing w:line="360" w:lineRule="auto"/>
              <w:jc w:val="center"/>
              <w:rPr>
                <w:rFonts w:ascii="Times New Roman" w:hAnsi="Times New Roman" w:cs="Times New Roman"/>
                <w:kern w:val="0"/>
                <w:szCs w:val="21"/>
              </w:rPr>
            </w:pPr>
            <w:r>
              <w:rPr>
                <w:rFonts w:hint="eastAsia" w:ascii="宋体" w:hAnsi="宋体"/>
                <w:szCs w:val="21"/>
              </w:rPr>
              <w:t>●</w:t>
            </w:r>
          </w:p>
        </w:tc>
        <w:tc>
          <w:tcPr>
            <w:tcW w:w="902" w:type="dxa"/>
            <w:vAlign w:val="center"/>
          </w:tcPr>
          <w:p>
            <w:pPr>
              <w:adjustRightInd w:val="0"/>
              <w:snapToGrid w:val="0"/>
              <w:spacing w:line="360" w:lineRule="auto"/>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768" w:type="dxa"/>
            <w:gridSpan w:val="6"/>
            <w:shd w:val="clear" w:color="auto" w:fill="auto"/>
            <w:vAlign w:val="center"/>
          </w:tcPr>
          <w:p>
            <w:pPr>
              <w:snapToGrid w:val="0"/>
              <w:spacing w:line="360" w:lineRule="auto"/>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widowControl/>
              <w:adjustRightInd w:val="0"/>
              <w:snapToGrid w:val="0"/>
              <w:spacing w:line="360" w:lineRule="auto"/>
              <w:jc w:val="left"/>
              <w:rPr>
                <w:rFonts w:ascii="宋体" w:hAnsi="宋体"/>
                <w:szCs w:val="21"/>
              </w:rPr>
            </w:pPr>
            <w:r>
              <w:rPr>
                <w:rFonts w:ascii="Times New Roman" w:hAnsi="Times New Roman" w:cs="Times New Roman"/>
                <w:color w:val="000000"/>
                <w:sz w:val="18"/>
                <w:szCs w:val="18"/>
              </w:rPr>
              <w:t>b重要质量项</w:t>
            </w:r>
            <w:bookmarkStart w:id="0" w:name="_GoBack"/>
            <w:bookmarkEnd w:id="0"/>
            <w:r>
              <w:rPr>
                <w:rFonts w:ascii="Times New Roman" w:hAnsi="Times New Roman" w:cs="Times New Roman"/>
                <w:color w:val="000000"/>
                <w:sz w:val="18"/>
                <w:szCs w:val="18"/>
              </w:rPr>
              <w:t>目。</w:t>
            </w:r>
          </w:p>
        </w:tc>
      </w:tr>
    </w:tbl>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ind w:firstLine="420" w:firstLineChars="200"/>
        <w:rPr>
          <w:rFonts w:ascii="Times New Roman" w:hAnsi="Times New Roman" w:cs="Times New Roman"/>
          <w:color w:val="000000"/>
          <w:szCs w:val="21"/>
          <w:lang w:val="zh-TW" w:eastAsia="zh-TW"/>
        </w:rPr>
      </w:pPr>
      <w:r>
        <w:rPr>
          <w:rFonts w:hint="eastAsia" w:ascii="Times New Roman" w:hAnsi="Times New Roman" w:cs="Times New Roman"/>
          <w:color w:val="000000"/>
          <w:szCs w:val="21"/>
          <w:lang w:val="zh-TW" w:eastAsia="zh-TW"/>
        </w:rPr>
        <w:t>执行企业标准、团体标准、地方标准的产品，检验项目参照上述内容执行。</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3.1依据标准</w:t>
      </w:r>
    </w:p>
    <w:p>
      <w:pPr>
        <w:adjustRightInd w:val="0"/>
        <w:snapToGrid w:val="0"/>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GB 4706.1-2005 《家用和类似用途电器的安全  第1部分：通用要求》</w:t>
      </w:r>
    </w:p>
    <w:p>
      <w:pPr>
        <w:adjustRightInd w:val="0"/>
        <w:snapToGrid w:val="0"/>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GB 4706.76-2008 《家用和类似用途电器的安全 灭虫器的特殊要求》</w:t>
      </w:r>
    </w:p>
    <w:p>
      <w:pPr>
        <w:adjustRightInd w:val="0"/>
        <w:snapToGrid w:val="0"/>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GB 4706.81-2014《</w:t>
      </w:r>
      <w:r>
        <w:fldChar w:fldCharType="begin"/>
      </w:r>
      <w:r>
        <w:instrText xml:space="preserve"> HYPERLINK "https://www.baidu.com/link?url=KInIfFDqmu-zY1sI-pOO9c8SHOXZVxs8NSPZx-v20Dx2W1-plnJzIXMFPzMDsGp8&amp;wd=&amp;eqid=8a7fd5ae0003316100000006572059ba" \t "_blank" </w:instrText>
      </w:r>
      <w:r>
        <w:fldChar w:fldCharType="separate"/>
      </w:r>
      <w:r>
        <w:rPr>
          <w:rFonts w:ascii="Times New Roman" w:hAnsi="Times New Roman" w:eastAsia="宋体" w:cs="Times New Roman"/>
          <w:kern w:val="0"/>
          <w:szCs w:val="21"/>
        </w:rPr>
        <w:t>家用和类似用途电器的安全 挥发器的特殊要求</w:t>
      </w:r>
      <w:r>
        <w:rPr>
          <w:rFonts w:ascii="Times New Roman" w:hAnsi="Times New Roman" w:eastAsia="宋体" w:cs="Times New Roman"/>
          <w:kern w:val="0"/>
          <w:szCs w:val="21"/>
        </w:rPr>
        <w:fldChar w:fldCharType="end"/>
      </w:r>
      <w:r>
        <w:rPr>
          <w:rFonts w:ascii="Times New Roman" w:hAnsi="Times New Roman" w:eastAsia="宋体" w:cs="Times New Roman"/>
          <w:kern w:val="0"/>
          <w:szCs w:val="21"/>
        </w:rPr>
        <w:t>》</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GB 4343.1-20</w:t>
      </w:r>
      <w:r>
        <w:rPr>
          <w:rFonts w:hint="eastAsia" w:ascii="Times New Roman" w:hAnsi="Times New Roman" w:eastAsia="宋体" w:cs="Times New Roman"/>
          <w:szCs w:val="21"/>
        </w:rPr>
        <w:t>18</w:t>
      </w:r>
      <w:r>
        <w:rPr>
          <w:rFonts w:ascii="Times New Roman" w:hAnsi="Times New Roman" w:eastAsia="宋体" w:cs="Times New Roman"/>
          <w:szCs w:val="21"/>
        </w:rPr>
        <w:t>《家用电器、电动工具和类似器具的电磁兼容要求 第1部分：发射》</w:t>
      </w:r>
    </w:p>
    <w:p>
      <w:pPr>
        <w:adjustRightInd w:val="0"/>
        <w:snapToGrid w:val="0"/>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GB 17625.1-2012《电磁兼容 限值 谐波电流发射限值(设备每相输入电流≤16A)》</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3.2判定原则</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经检验，所检验项目全部符合标准要求，判定为被抽查产品未发现不合格；检验项目中任一项或一项以上不合格，判定为被抽查产品不合格。当产品存在A类项目不合格时，属于严重不合格。</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color w:val="000000"/>
          <w:szCs w:val="21"/>
        </w:rPr>
        <w:t>若被检产品明示的质量要求缺少本细则中检验项目依据的推荐性标准要求时，该项目不参与判定，但应在检验报告备注中进行说明。</w:t>
      </w:r>
    </w:p>
    <w:p>
      <w:pPr>
        <w:adjustRightInd w:val="0"/>
        <w:snapToGrid w:val="0"/>
        <w:spacing w:line="360" w:lineRule="auto"/>
        <w:rPr>
          <w:rFonts w:ascii="Times New Roman" w:hAnsi="Times New Roman" w:eastAsia="宋体" w:cs="Times New Roma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NTUyZWExMzIzMzQ0ZTUxNGVlN2M0ODRmYTg0MWQifQ=="/>
  </w:docVars>
  <w:rsids>
    <w:rsidRoot w:val="33004E72"/>
    <w:rsid w:val="00011470"/>
    <w:rsid w:val="001B3A04"/>
    <w:rsid w:val="00291DD9"/>
    <w:rsid w:val="002A2E56"/>
    <w:rsid w:val="002A31C8"/>
    <w:rsid w:val="00695832"/>
    <w:rsid w:val="007E54B5"/>
    <w:rsid w:val="00D5480E"/>
    <w:rsid w:val="00E015D0"/>
    <w:rsid w:val="00F113B1"/>
    <w:rsid w:val="017D30E6"/>
    <w:rsid w:val="04E24716"/>
    <w:rsid w:val="09815C97"/>
    <w:rsid w:val="0DCA3207"/>
    <w:rsid w:val="119D4618"/>
    <w:rsid w:val="13E2640B"/>
    <w:rsid w:val="194373D7"/>
    <w:rsid w:val="20F17408"/>
    <w:rsid w:val="29A51FBB"/>
    <w:rsid w:val="29C325FD"/>
    <w:rsid w:val="2B0D4F9A"/>
    <w:rsid w:val="32AC5A26"/>
    <w:rsid w:val="33004E72"/>
    <w:rsid w:val="353F7B29"/>
    <w:rsid w:val="3E116BCF"/>
    <w:rsid w:val="46D01672"/>
    <w:rsid w:val="4C143C44"/>
    <w:rsid w:val="554428D6"/>
    <w:rsid w:val="5A15037D"/>
    <w:rsid w:val="66250584"/>
    <w:rsid w:val="66B440BB"/>
    <w:rsid w:val="79CA44BE"/>
    <w:rsid w:val="7FA3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249</Words>
  <Characters>1424</Characters>
  <Lines>11</Lines>
  <Paragraphs>3</Paragraphs>
  <TotalTime>44</TotalTime>
  <ScaleCrop>false</ScaleCrop>
  <LinksUpToDate>false</LinksUpToDate>
  <CharactersWithSpaces>1670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2020-03-23T02:08:00Z</dcterms:created>
  <dc:creator>JS</dc:creator>
  <cp:lastModifiedBy>Administrator</cp:lastModifiedBy>
  <dcterms:modified xsi:type="dcterms:W3CDTF">2023-08-11T05:59:53Z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57F7F87F606242A4B8CE3C7779C8E9B9</vt:lpwstr>
  </property>
</Properties>
</file>