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firstLine="440" w:firstLineChar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2022年度广州市海珠区气象局</w:t>
      </w:r>
    </w:p>
    <w:p>
      <w:pPr>
        <w:pStyle w:val="3"/>
        <w:bidi w:val="0"/>
        <w:ind w:firstLine="440" w:firstLineChars="10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部门整体支出绩效自评报告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sz w:val="32"/>
          <w:szCs w:val="32"/>
          <w:lang w:eastAsia="zh-CN"/>
        </w:rPr>
      </w:pPr>
    </w:p>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color w:val="000000"/>
          <w:sz w:val="32"/>
          <w:highlight w:val="none"/>
          <w:lang w:eastAsia="zh-CN"/>
        </w:rPr>
      </w:pPr>
      <w:bookmarkStart w:id="0" w:name="_Toc17037"/>
      <w:bookmarkStart w:id="1" w:name="_Toc14504"/>
      <w:bookmarkStart w:id="2" w:name="_Toc19696"/>
      <w:bookmarkStart w:id="3" w:name="_Toc14634"/>
      <w:r>
        <w:rPr>
          <w:rFonts w:hint="eastAsia"/>
          <w:color w:val="000000"/>
          <w:sz w:val="32"/>
          <w:highlight w:val="none"/>
          <w:lang w:eastAsia="zh-CN"/>
        </w:rPr>
        <w:t>一、基本情况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lang w:eastAsia="zh-CN"/>
        </w:rPr>
      </w:pPr>
      <w:r>
        <w:rPr>
          <w:rFonts w:hint="eastAsia" w:ascii="楷体_GB2312" w:hAnsi="楷体_GB2312" w:eastAsia="楷体_GB2312" w:cs="楷体_GB2312"/>
          <w:b/>
          <w:bCs/>
          <w:color w:val="000000"/>
          <w:kern w:val="44"/>
          <w:sz w:val="32"/>
          <w:highlight w:val="none"/>
        </w:rPr>
        <w:t>（一）</w:t>
      </w:r>
      <w:r>
        <w:rPr>
          <w:rFonts w:hint="eastAsia" w:ascii="楷体_GB2312" w:hAnsi="楷体_GB2312" w:eastAsia="楷体_GB2312" w:cs="楷体_GB2312"/>
          <w:b/>
          <w:bCs/>
          <w:color w:val="000000"/>
          <w:kern w:val="44"/>
          <w:sz w:val="32"/>
          <w:highlight w:val="none"/>
          <w:lang w:eastAsia="zh-CN"/>
        </w:rPr>
        <w:t>部门概况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color w:val="000000"/>
          <w:szCs w:val="32"/>
          <w:highlight w:val="none"/>
        </w:rPr>
      </w:pPr>
      <w:r>
        <w:rPr>
          <w:rFonts w:hint="eastAsia"/>
          <w:color w:val="000000"/>
          <w:szCs w:val="32"/>
          <w:highlight w:val="none"/>
        </w:rPr>
        <w:t>广州市海珠区气象局是负责本行政区域内气象监测、预报预警的发布和管理工作，对重大气象灾害做出评估，为海珠区政府应对气候变化和减缓气候影响，提供决策依据的工作部门。主要工作包括：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color w:val="000000"/>
          <w:szCs w:val="32"/>
          <w:highlight w:val="none"/>
        </w:rPr>
      </w:pPr>
      <w:r>
        <w:rPr>
          <w:rFonts w:hint="eastAsia"/>
          <w:color w:val="000000"/>
          <w:szCs w:val="32"/>
          <w:highlight w:val="none"/>
          <w:lang w:eastAsia="zh-CN"/>
        </w:rPr>
        <w:t>1</w:t>
      </w:r>
      <w:r>
        <w:rPr>
          <w:rFonts w:hint="eastAsia"/>
          <w:color w:val="000000"/>
          <w:szCs w:val="32"/>
          <w:highlight w:val="none"/>
          <w:lang w:val="en-US" w:eastAsia="zh-CN"/>
        </w:rPr>
        <w:t>.</w:t>
      </w:r>
      <w:r>
        <w:rPr>
          <w:rFonts w:hint="eastAsia"/>
          <w:color w:val="000000"/>
          <w:szCs w:val="32"/>
          <w:highlight w:val="none"/>
        </w:rPr>
        <w:t>贯彻执行中央、省、市有关气象工作的法律、法规、规章和方针、政策，组织拟定相应的管理措施和办法并组织实施；依法履行气象行政执法职能，负责组织有关气象法律法规的实施，依法对违反气象法律法规的行为进行处罚，协助做好有关气象行政复议和行政诉讼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color w:val="000000"/>
          <w:szCs w:val="32"/>
          <w:highlight w:val="none"/>
        </w:rPr>
      </w:pPr>
      <w:r>
        <w:rPr>
          <w:rFonts w:hint="eastAsia"/>
          <w:color w:val="000000"/>
          <w:szCs w:val="32"/>
          <w:highlight w:val="none"/>
          <w:lang w:eastAsia="zh-CN"/>
        </w:rPr>
        <w:t>2</w:t>
      </w:r>
      <w:r>
        <w:rPr>
          <w:rFonts w:hint="eastAsia"/>
          <w:color w:val="000000"/>
          <w:szCs w:val="32"/>
          <w:highlight w:val="none"/>
          <w:lang w:val="en-US" w:eastAsia="zh-CN"/>
        </w:rPr>
        <w:t>.</w:t>
      </w:r>
      <w:r>
        <w:rPr>
          <w:rFonts w:hint="eastAsia"/>
          <w:color w:val="000000"/>
          <w:szCs w:val="32"/>
          <w:highlight w:val="none"/>
        </w:rPr>
        <w:t>制定和组织实施本行政区域内气象事业发展规划、计划及气象业务建设；对本行政区域内的气象活动进行指导、监督和行业管理。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color w:val="000000"/>
          <w:szCs w:val="32"/>
          <w:highlight w:val="none"/>
        </w:rPr>
      </w:pPr>
      <w:r>
        <w:rPr>
          <w:rFonts w:hint="eastAsia"/>
          <w:color w:val="000000"/>
          <w:szCs w:val="32"/>
          <w:highlight w:val="none"/>
          <w:lang w:eastAsia="zh-CN"/>
        </w:rPr>
        <w:t>3</w:t>
      </w:r>
      <w:r>
        <w:rPr>
          <w:rFonts w:hint="eastAsia"/>
          <w:color w:val="000000"/>
          <w:szCs w:val="32"/>
          <w:highlight w:val="none"/>
          <w:lang w:val="en-US" w:eastAsia="zh-CN"/>
        </w:rPr>
        <w:t>.</w:t>
      </w:r>
      <w:r>
        <w:rPr>
          <w:rFonts w:hint="eastAsia"/>
          <w:color w:val="000000"/>
          <w:szCs w:val="32"/>
          <w:highlight w:val="none"/>
        </w:rPr>
        <w:t>负责本行政区域气象监测网络的建设、管理和气象探测资料的收集、传输以及气象资料档案管理；依法保护气象探测环境。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color w:val="000000"/>
          <w:szCs w:val="32"/>
          <w:highlight w:val="none"/>
        </w:rPr>
      </w:pPr>
      <w:r>
        <w:rPr>
          <w:rFonts w:hint="eastAsia"/>
          <w:color w:val="000000"/>
          <w:szCs w:val="32"/>
          <w:highlight w:val="none"/>
          <w:lang w:eastAsia="zh-CN"/>
        </w:rPr>
        <w:t>4</w:t>
      </w:r>
      <w:r>
        <w:rPr>
          <w:rFonts w:hint="eastAsia"/>
          <w:color w:val="000000"/>
          <w:szCs w:val="32"/>
          <w:highlight w:val="none"/>
          <w:lang w:val="en-US" w:eastAsia="zh-CN"/>
        </w:rPr>
        <w:t>.</w:t>
      </w:r>
      <w:r>
        <w:rPr>
          <w:rFonts w:hint="eastAsia"/>
          <w:color w:val="000000"/>
          <w:szCs w:val="32"/>
          <w:highlight w:val="none"/>
        </w:rPr>
        <w:t>负责组织管理气象灾害防御工作，及时提出气象灾害防御措施。负责本行政区域内气象监测、预报预警的发布和管理工作，对重大气象灾害做出评估，为海珠区政府应对气候变化和减缓气候影响，提供决策依据；统筹突发事件预警信息发布系统工作，开展各项气象业务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color w:val="000000"/>
          <w:szCs w:val="32"/>
          <w:highlight w:val="none"/>
        </w:rPr>
      </w:pPr>
      <w:r>
        <w:rPr>
          <w:rFonts w:hint="eastAsia"/>
          <w:color w:val="000000"/>
          <w:szCs w:val="32"/>
          <w:highlight w:val="none"/>
          <w:lang w:eastAsia="zh-CN"/>
        </w:rPr>
        <w:t>5</w:t>
      </w:r>
      <w:r>
        <w:rPr>
          <w:rFonts w:hint="eastAsia"/>
          <w:color w:val="000000"/>
          <w:szCs w:val="32"/>
          <w:highlight w:val="none"/>
          <w:lang w:val="en-US" w:eastAsia="zh-CN"/>
        </w:rPr>
        <w:t>.</w:t>
      </w:r>
      <w:r>
        <w:rPr>
          <w:rFonts w:hint="eastAsia"/>
          <w:color w:val="000000"/>
          <w:szCs w:val="32"/>
          <w:highlight w:val="none"/>
        </w:rPr>
        <w:t>负责管理实施人工影响天气的有关工作。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color w:val="000000"/>
          <w:szCs w:val="32"/>
          <w:highlight w:val="none"/>
        </w:rPr>
      </w:pPr>
      <w:r>
        <w:rPr>
          <w:rFonts w:hint="eastAsia"/>
          <w:color w:val="000000"/>
          <w:szCs w:val="32"/>
          <w:highlight w:val="none"/>
          <w:lang w:eastAsia="zh-CN"/>
        </w:rPr>
        <w:t>6</w:t>
      </w:r>
      <w:r>
        <w:rPr>
          <w:rFonts w:hint="eastAsia"/>
          <w:color w:val="000000"/>
          <w:szCs w:val="32"/>
          <w:highlight w:val="none"/>
          <w:lang w:val="en-US" w:eastAsia="zh-CN"/>
        </w:rPr>
        <w:t>.</w:t>
      </w:r>
      <w:r>
        <w:rPr>
          <w:rFonts w:hint="eastAsia"/>
          <w:color w:val="000000"/>
          <w:szCs w:val="32"/>
          <w:highlight w:val="none"/>
        </w:rPr>
        <w:t>负责组织管理气象灾害防御工作，负责本行政区域内防雷设施的设计审核、施工监督、竣工验收和定期检测、雷电灾害风险评估、调查及事故鉴定等工作；指导海珠区气象公共服务中心开展工作。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color w:val="000000"/>
          <w:szCs w:val="32"/>
          <w:highlight w:val="none"/>
        </w:rPr>
      </w:pPr>
      <w:r>
        <w:rPr>
          <w:rFonts w:hint="eastAsia"/>
          <w:color w:val="000000"/>
          <w:szCs w:val="32"/>
          <w:highlight w:val="none"/>
          <w:lang w:eastAsia="zh-CN"/>
        </w:rPr>
        <w:t>7</w:t>
      </w:r>
      <w:r>
        <w:rPr>
          <w:rFonts w:hint="eastAsia"/>
          <w:color w:val="000000"/>
          <w:szCs w:val="32"/>
          <w:highlight w:val="none"/>
          <w:lang w:val="en-US" w:eastAsia="zh-CN"/>
        </w:rPr>
        <w:t>.</w:t>
      </w:r>
      <w:r>
        <w:rPr>
          <w:rFonts w:hint="eastAsia"/>
          <w:color w:val="000000"/>
          <w:szCs w:val="32"/>
          <w:highlight w:val="none"/>
        </w:rPr>
        <w:t>负责向海珠区人民政府和海珠区有关部门提出利用、保护气侯资源和推广应用气候资源区划等成果的建议；组织对城市规划编制、重大基础设施建设、大型工程建设、重大区域性经济开发项目和气候资源开发利用项目进行气候可行性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color w:val="000000"/>
          <w:szCs w:val="32"/>
          <w:highlight w:val="none"/>
          <w:lang w:eastAsia="zh-CN"/>
        </w:rPr>
        <w:t>8</w:t>
      </w:r>
      <w:r>
        <w:rPr>
          <w:rFonts w:hint="eastAsia"/>
          <w:color w:val="000000"/>
          <w:szCs w:val="32"/>
          <w:highlight w:val="none"/>
          <w:lang w:val="en-US" w:eastAsia="zh-CN"/>
        </w:rPr>
        <w:t>.</w:t>
      </w:r>
      <w:r>
        <w:rPr>
          <w:rFonts w:hint="eastAsia"/>
          <w:color w:val="000000"/>
          <w:szCs w:val="32"/>
          <w:highlight w:val="none"/>
        </w:rPr>
        <w:t>承担上级气象主管机构和海珠区人民政府交办的其它事项。</w:t>
      </w: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color w:val="0000FF"/>
          <w:szCs w:val="32"/>
          <w:highlight w:val="none"/>
        </w:rPr>
      </w:pP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二</w:t>
      </w: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年度总体工作和重点工作任务</w:t>
      </w:r>
      <w:r>
        <w:rPr>
          <w:rFonts w:hint="eastAsia" w:ascii="Times New Roman" w:hAnsi="Times New Roman" w:eastAsia="仿宋_GB2312" w:cs="Times New Roman"/>
          <w:color w:val="000000"/>
          <w:sz w:val="32"/>
          <w:szCs w:val="32"/>
          <w:highlight w:val="none"/>
          <w:lang w:val="en-US" w:eastAsia="zh-CN"/>
        </w:rPr>
        <w:t>（简要介绍部门履职总体目标、总体工作和重点工作任务完成情况）</w:t>
      </w:r>
    </w:p>
    <w:p>
      <w:pPr>
        <w:pStyle w:val="2"/>
        <w:ind w:left="0" w:leftChars="0" w:firstLine="640" w:firstLineChars="200"/>
        <w:rPr>
          <w:rFonts w:hint="eastAsia"/>
        </w:rPr>
      </w:pPr>
      <w:r>
        <w:rPr>
          <w:rFonts w:hint="eastAsia"/>
        </w:rPr>
        <w:t>1.全力以赴做好气象服务工作</w:t>
      </w:r>
    </w:p>
    <w:p>
      <w:pPr>
        <w:rPr>
          <w:rFonts w:hint="eastAsia"/>
        </w:rPr>
      </w:pPr>
      <w:r>
        <w:rPr>
          <w:rFonts w:hint="eastAsia"/>
        </w:rPr>
        <w:t>我</w:t>
      </w:r>
      <w:r>
        <w:rPr>
          <w:rFonts w:hint="eastAsia"/>
          <w:lang w:eastAsia="zh-CN"/>
        </w:rPr>
        <w:t>局</w:t>
      </w:r>
      <w:r>
        <w:rPr>
          <w:rFonts w:hint="eastAsia"/>
        </w:rPr>
        <w:t>认真落实上级气象部门和区委区政府工作部署，全力做好天气监测预报预警服务工作。面对今年复杂的天气气候背景、党的二十大召开政治大年以及新冠肺炎疫情防控严峻形势，我局班子成员靠前指挥，始终坚守一线，组织干部职工全力做好灾害性天气监测预报预警服务，业务人员密切监视天气变化，积极主动滚动开展各项服务，全力为地方防灾减灾决策、疫情防控工作、人民生命财产安全提供气象保障。除做好常规气象服务外，还用心用情用力圆满完成各项气象保障任务。2022年，共保障春运、中高考、防疫工作、自学考试、事业单位招聘考试、重阳节等十余次重大活动。</w:t>
      </w:r>
    </w:p>
    <w:p>
      <w:pPr>
        <w:pStyle w:val="2"/>
        <w:numPr>
          <w:ilvl w:val="0"/>
          <w:numId w:val="0"/>
        </w:numPr>
        <w:ind w:leftChars="200"/>
        <w:rPr>
          <w:rFonts w:hint="default"/>
          <w:lang w:val="en-US" w:eastAsia="zh-CN"/>
        </w:rPr>
      </w:pPr>
      <w:r>
        <w:rPr>
          <w:rFonts w:hint="eastAsia"/>
          <w:lang w:val="en-US" w:eastAsia="zh-CN"/>
        </w:rPr>
        <w:t>2.做好气象灾害综合风险普查工作</w:t>
      </w:r>
    </w:p>
    <w:p>
      <w:pPr>
        <w:rPr>
          <w:rFonts w:hint="eastAsia"/>
          <w:lang w:val="en-US" w:eastAsia="zh-CN"/>
        </w:rPr>
      </w:pPr>
      <w:r>
        <w:rPr>
          <w:rFonts w:hint="eastAsia"/>
          <w:lang w:val="en-US" w:eastAsia="zh-CN"/>
        </w:rPr>
        <w:t>一是积极主动向区领导汇报，对接地方财政部门落实资金预算。二是制定了《海珠区气象灾害综合风险普查工作方案》，按照方案做好招投标工作。三是按照“边普查、边应用、边见效”原则，我局围绕气象灾害综合风险普查应用开展研究，探索建立多类型、多形式的普查成果应用体系，“点面结合”有效拓展普查成果应用领域。</w:t>
      </w:r>
    </w:p>
    <w:p>
      <w:pPr>
        <w:rPr>
          <w:rFonts w:hint="eastAsia"/>
          <w:lang w:val="en-US" w:eastAsia="zh-CN"/>
        </w:rPr>
      </w:pPr>
      <w:r>
        <w:rPr>
          <w:rFonts w:hint="eastAsia"/>
          <w:lang w:val="en-US" w:eastAsia="zh-CN"/>
        </w:rPr>
        <w:t>3.着力提升气象监测能力</w:t>
      </w:r>
    </w:p>
    <w:p>
      <w:pPr>
        <w:pStyle w:val="2"/>
        <w:ind w:left="0" w:leftChars="0" w:firstLine="640" w:firstLineChars="200"/>
        <w:rPr>
          <w:rFonts w:hint="eastAsia"/>
          <w:lang w:val="en-US" w:eastAsia="zh-CN"/>
        </w:rPr>
      </w:pPr>
      <w:r>
        <w:rPr>
          <w:rFonts w:hint="eastAsia"/>
          <w:lang w:val="en-US" w:eastAsia="zh-CN"/>
        </w:rPr>
        <w:t>进一步优化调整全区区域自动气象站布局。一是调整迁移广东财经大学站（G3309）至校区内相对开阔的西校区，解决该站因周边树木过于繁茂导致站点风力较全区明显偏低的问题。二是在新洲码头党群服务中心新建区域自动站，该站申请业务运行后即可投入使用，进一步填补我区水上交通的气象数据空白，提高珠江航道附近的观测能力。三是完成了太古仓码头和广州塔附近财富码头的智慧灯杆站微型气象站建设，在海珠“网红点”和人员密集场所增加气象观测。</w:t>
      </w:r>
    </w:p>
    <w:p>
      <w:pPr>
        <w:pStyle w:val="2"/>
        <w:ind w:left="0" w:leftChars="0" w:firstLine="640" w:firstLineChars="200"/>
        <w:rPr>
          <w:rFonts w:hint="eastAsia"/>
          <w:lang w:val="en-US" w:eastAsia="zh-CN"/>
        </w:rPr>
      </w:pPr>
      <w:r>
        <w:rPr>
          <w:rFonts w:hint="eastAsia"/>
          <w:lang w:val="en-US" w:eastAsia="zh-CN"/>
        </w:rPr>
        <w:t>4.继续做好大气污染防治气象保障</w:t>
      </w:r>
    </w:p>
    <w:p>
      <w:pPr>
        <w:rPr>
          <w:rFonts w:hint="eastAsia"/>
          <w:lang w:val="en-US" w:eastAsia="zh-CN"/>
        </w:rPr>
      </w:pPr>
      <w:r>
        <w:rPr>
          <w:rFonts w:hint="eastAsia"/>
          <w:lang w:val="en-US" w:eastAsia="zh-CN"/>
        </w:rPr>
        <w:t>为提高海珠区空气质量监测国控点的大气环境质量，结合高精度网格数值产品，在市局的指导下，与区生态环境分局不定期进行会商联动。</w:t>
      </w:r>
    </w:p>
    <w:p>
      <w:pPr>
        <w:rPr>
          <w:rFonts w:hint="eastAsia"/>
          <w:lang w:val="en-US" w:eastAsia="zh-CN"/>
        </w:rPr>
      </w:pPr>
      <w:r>
        <w:rPr>
          <w:rFonts w:hint="eastAsia"/>
          <w:lang w:val="en-US" w:eastAsia="zh-CN"/>
        </w:rPr>
        <w:t>5.提高气象服务精细化水平</w:t>
      </w:r>
    </w:p>
    <w:p>
      <w:pPr>
        <w:pStyle w:val="2"/>
        <w:ind w:left="0" w:leftChars="0" w:firstLine="640" w:firstLineChars="200"/>
        <w:rPr>
          <w:rFonts w:hint="eastAsia"/>
          <w:lang w:val="en-US" w:eastAsia="zh-CN"/>
        </w:rPr>
      </w:pPr>
      <w:r>
        <w:rPr>
          <w:rFonts w:hint="eastAsia"/>
          <w:lang w:val="en-US" w:eastAsia="zh-CN"/>
        </w:rPr>
        <w:t>一是做好具有广州特色的“131631”预警预报服务模式在海珠的落地实施。二是建立暴雨影响预报和风险预警业务，为城市内涝、交通、地质、建筑工地、港口等提供防御建议和防御指引，构建灾害天气过程复盘总结常态化机制。四是开展广东省城市内涝治理实施方案的有关任务，分别与区应急管理局、区水务局、区住建局业务人员进行深入沟通，逐步完善我区防暴雨内涝快速预警和快速应急响应工作机制。五是积极按照上级气象部门统一模板和策划参与联动，完成统一品牌宣传推广工作。</w:t>
      </w:r>
    </w:p>
    <w:p>
      <w:pPr>
        <w:rPr>
          <w:rFonts w:hint="eastAsia"/>
          <w:lang w:val="en-US" w:eastAsia="zh-CN"/>
        </w:rPr>
      </w:pPr>
      <w:r>
        <w:rPr>
          <w:rFonts w:hint="eastAsia"/>
          <w:lang w:val="en-US" w:eastAsia="zh-CN"/>
        </w:rPr>
        <w:t>6.提升气象服务社会的能力和水平</w:t>
      </w:r>
    </w:p>
    <w:p>
      <w:pPr>
        <w:pStyle w:val="2"/>
        <w:ind w:left="0" w:leftChars="0" w:firstLine="640" w:firstLineChars="200"/>
        <w:rPr>
          <w:rFonts w:hint="default"/>
          <w:lang w:val="en-US" w:eastAsia="zh-CN"/>
        </w:rPr>
      </w:pPr>
      <w:r>
        <w:rPr>
          <w:rFonts w:hint="eastAsia"/>
          <w:lang w:val="en-US" w:eastAsia="zh-CN"/>
        </w:rPr>
        <w:t>一是全面提升政务服务水平，进一步在“减材料、做实事、省心力”上下功夫。二是加强对重点单位的服务、指导与监管。三是做好专业气象服务。四是创新思路谋划好气象科普工作。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rPr>
        <w:t>（三）部门</w:t>
      </w:r>
      <w:r>
        <w:rPr>
          <w:rFonts w:hint="eastAsia" w:ascii="楷体_GB2312" w:hAnsi="楷体_GB2312" w:eastAsia="楷体_GB2312" w:cs="楷体_GB2312"/>
          <w:b/>
          <w:bCs/>
          <w:color w:val="000000"/>
          <w:kern w:val="44"/>
          <w:sz w:val="32"/>
          <w:highlight w:val="none"/>
          <w:lang w:eastAsia="zh-CN"/>
        </w:rPr>
        <w:t>整体收支情况</w:t>
      </w:r>
      <w:r>
        <w:rPr>
          <w:rFonts w:hint="eastAsia" w:ascii="Times New Roman" w:hAnsi="Times New Roman" w:eastAsia="仿宋_GB2312" w:cs="Times New Roman"/>
          <w:color w:val="000000"/>
          <w:sz w:val="32"/>
          <w:szCs w:val="32"/>
          <w:highlight w:val="none"/>
          <w:lang w:val="en-US" w:eastAsia="zh-CN"/>
        </w:rPr>
        <w:t>（简要介绍部门整体支出绩效目</w:t>
      </w:r>
      <w:r>
        <w:rPr>
          <w:rFonts w:hint="eastAsia" w:ascii="仿宋_GB2312" w:hAnsi="仿宋_GB2312" w:eastAsia="仿宋_GB2312" w:cs="仿宋_GB2312"/>
          <w:color w:val="000000"/>
          <w:sz w:val="32"/>
          <w:szCs w:val="32"/>
          <w:highlight w:val="none"/>
          <w:lang w:val="en-US" w:eastAsia="zh-CN"/>
        </w:rPr>
        <w:t>标、预算完成情况、收支规模、支出进度等）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lang w:val="en-US" w:eastAsia="zh-CN"/>
        </w:rPr>
        <w:t>部门整体支出绩效目</w:t>
      </w:r>
      <w:r>
        <w:rPr>
          <w:rFonts w:hint="eastAsia" w:ascii="仿宋_GB2312" w:hAnsi="仿宋_GB2312" w:eastAsia="仿宋_GB2312" w:cs="仿宋_GB2312"/>
          <w:color w:val="000000"/>
          <w:sz w:val="32"/>
          <w:szCs w:val="32"/>
          <w:highlight w:val="none"/>
          <w:lang w:val="en-US" w:eastAsia="zh-CN"/>
        </w:rPr>
        <w:t>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lang w:val="en-US" w:eastAsia="zh-CN"/>
        </w:rPr>
      </w:pPr>
      <w:r>
        <w:rPr>
          <w:rFonts w:hint="eastAsia"/>
          <w:lang w:val="en-US" w:eastAsia="zh-CN"/>
        </w:rPr>
        <w:t>2022年，区气象局遵循习近平总书记所强调的：努力做到“监测精密、预报精准、服务精细”，切实发挥气象防灾减灾“第一道防线”作用。同时，不断健全预警应急机制，提高市民气象加强预警信息发布系统建设及提高市民气象防灾减灾能力的要求，保障现有监测体系正常运行，为海珠安全建设，提供保障。</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预算完成情况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default"/>
          <w:lang w:val="en-US" w:eastAsia="zh-CN"/>
        </w:rPr>
      </w:pPr>
      <w:r>
        <w:rPr>
          <w:rFonts w:hint="eastAsia" w:ascii="仿宋_GB2312" w:hAnsi="仿宋_GB2312" w:eastAsia="仿宋_GB2312" w:cs="仿宋_GB2312"/>
          <w:color w:val="000000"/>
          <w:sz w:val="32"/>
          <w:szCs w:val="32"/>
          <w:highlight w:val="none"/>
          <w:lang w:val="en-US" w:eastAsia="zh-CN"/>
        </w:rPr>
        <w:t>2022年度</w:t>
      </w:r>
      <w:r>
        <w:rPr>
          <w:rFonts w:hint="eastAsia" w:ascii="仿宋_GB2312" w:hAnsi="仿宋_GB2312" w:cs="仿宋_GB2312"/>
          <w:color w:val="000000"/>
          <w:sz w:val="32"/>
          <w:szCs w:val="32"/>
          <w:highlight w:val="none"/>
          <w:lang w:val="en-US" w:eastAsia="zh-CN"/>
        </w:rPr>
        <w:t>部门预算</w:t>
      </w:r>
      <w:r>
        <w:rPr>
          <w:rFonts w:hint="eastAsia" w:ascii="仿宋_GB2312" w:hAnsi="仿宋_GB2312" w:eastAsia="仿宋_GB2312" w:cs="仿宋_GB2312"/>
          <w:color w:val="000000"/>
          <w:sz w:val="32"/>
          <w:szCs w:val="32"/>
          <w:highlight w:val="none"/>
          <w:lang w:val="en-US" w:eastAsia="zh-CN"/>
        </w:rPr>
        <w:t>1,268.8</w:t>
      </w:r>
      <w:r>
        <w:rPr>
          <w:rFonts w:hint="eastAsia" w:ascii="仿宋_GB2312" w:hAnsi="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en-US" w:eastAsia="zh-CN"/>
        </w:rPr>
        <w:t>万元</w:t>
      </w:r>
      <w:r>
        <w:rPr>
          <w:rFonts w:hint="eastAsia" w:ascii="仿宋_GB2312" w:hAnsi="仿宋_GB2312" w:cs="仿宋_GB2312"/>
          <w:color w:val="000000"/>
          <w:sz w:val="32"/>
          <w:szCs w:val="32"/>
          <w:highlight w:val="none"/>
          <w:lang w:val="en-US" w:eastAsia="zh-CN"/>
        </w:rPr>
        <w:t>，其中</w:t>
      </w:r>
      <w:r>
        <w:rPr>
          <w:rFonts w:hint="eastAsia" w:ascii="仿宋_GB2312" w:hAnsi="仿宋_GB2312" w:eastAsia="仿宋_GB2312" w:cs="仿宋_GB2312"/>
          <w:color w:val="000000"/>
          <w:sz w:val="32"/>
          <w:szCs w:val="32"/>
          <w:highlight w:val="none"/>
          <w:lang w:val="en-US" w:eastAsia="zh-CN"/>
        </w:rPr>
        <w:t>基本支出940</w:t>
      </w:r>
      <w:r>
        <w:rPr>
          <w:rFonts w:hint="eastAsia" w:ascii="仿宋_GB2312" w:hAnsi="仿宋_GB2312" w:cs="仿宋_GB2312"/>
          <w:color w:val="000000"/>
          <w:sz w:val="32"/>
          <w:szCs w:val="32"/>
          <w:highlight w:val="none"/>
          <w:lang w:val="en-US" w:eastAsia="zh-CN"/>
        </w:rPr>
        <w:t>.02</w:t>
      </w:r>
      <w:r>
        <w:rPr>
          <w:rFonts w:hint="eastAsia" w:ascii="仿宋_GB2312" w:hAnsi="仿宋_GB2312" w:eastAsia="仿宋_GB2312" w:cs="仿宋_GB2312"/>
          <w:color w:val="000000"/>
          <w:sz w:val="32"/>
          <w:szCs w:val="32"/>
          <w:highlight w:val="none"/>
          <w:lang w:val="en-US" w:eastAsia="zh-CN"/>
        </w:rPr>
        <w:t>万元，项目支出328.82万元</w:t>
      </w:r>
      <w:r>
        <w:rPr>
          <w:rFonts w:hint="eastAsia" w:ascii="仿宋_GB2312" w:hAnsi="仿宋_GB2312" w:cs="仿宋_GB2312"/>
          <w:color w:val="000000"/>
          <w:sz w:val="32"/>
          <w:szCs w:val="32"/>
          <w:highlight w:val="none"/>
          <w:lang w:val="en-US" w:eastAsia="zh-CN"/>
        </w:rPr>
        <w:t>。部门预算支出1268.82万元，其中基本支出940</w:t>
      </w:r>
      <w:bookmarkStart w:id="16" w:name="_GoBack"/>
      <w:bookmarkEnd w:id="16"/>
      <w:r>
        <w:rPr>
          <w:rFonts w:hint="eastAsia" w:ascii="仿宋_GB2312" w:hAnsi="仿宋_GB2312" w:cs="仿宋_GB2312"/>
          <w:color w:val="000000"/>
          <w:sz w:val="32"/>
          <w:szCs w:val="32"/>
          <w:highlight w:val="none"/>
          <w:lang w:val="en-US" w:eastAsia="zh-CN"/>
        </w:rPr>
        <w:t>万元，项目支出328.82万元，预算完成率99.99%。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color w:val="000000"/>
          <w:sz w:val="32"/>
          <w:szCs w:val="32"/>
          <w:highlight w:val="none"/>
          <w:lang w:val="en-US" w:eastAsia="zh-CN"/>
        </w:rPr>
        <w:t>收支规模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仿宋_GB2312" w:hAnsi="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2022年度总收入1,311.18万元，其中本年收入1,268.8</w:t>
      </w:r>
      <w:r>
        <w:rPr>
          <w:rFonts w:hint="eastAsia" w:ascii="仿宋_GB2312" w:hAnsi="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en-US" w:eastAsia="zh-CN"/>
        </w:rPr>
        <w:t>万元。具体情况如下：一般公共预算财政拨款收入1,258.07万元，其他收入10.75万元，年初结转和结余42.36万元</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2022 年度总支出1,311.18万元，其中本年支出1,268.8</w:t>
      </w:r>
      <w:r>
        <w:rPr>
          <w:rFonts w:hint="eastAsia" w:ascii="仿宋_GB2312" w:hAnsi="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en-US" w:eastAsia="zh-CN"/>
        </w:rPr>
        <w:t>万元，基本支出940万元，项目支出328.82万元</w:t>
      </w:r>
      <w:r>
        <w:rPr>
          <w:rFonts w:hint="eastAsia" w:ascii="仿宋_GB2312" w:hAnsi="仿宋_GB2312" w:cs="仿宋_GB2312"/>
          <w:color w:val="000000"/>
          <w:sz w:val="32"/>
          <w:szCs w:val="32"/>
          <w:highlight w:val="none"/>
          <w:lang w:val="en-US" w:eastAsia="zh-CN"/>
        </w:rPr>
        <w:t>，年末</w:t>
      </w:r>
      <w:r>
        <w:rPr>
          <w:rFonts w:hint="eastAsia" w:ascii="仿宋_GB2312" w:hAnsi="仿宋_GB2312" w:eastAsia="仿宋_GB2312" w:cs="仿宋_GB2312"/>
          <w:color w:val="000000"/>
          <w:sz w:val="32"/>
          <w:szCs w:val="32"/>
          <w:highlight w:val="none"/>
          <w:lang w:val="en-US" w:eastAsia="zh-CN"/>
        </w:rPr>
        <w:t>结转和结余42.36万元</w:t>
      </w:r>
      <w:r>
        <w:rPr>
          <w:rFonts w:hint="eastAsia" w:ascii="仿宋_GB2312" w:hAnsi="仿宋_GB2312" w:cs="仿宋_GB2312"/>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r>
        <w:rPr>
          <w:rFonts w:hint="eastAsia" w:ascii="楷体_GB2312" w:hAnsi="楷体_GB2312" w:eastAsia="楷体_GB2312" w:cs="楷体_GB2312"/>
          <w:b/>
          <w:bCs/>
          <w:color w:val="000000"/>
          <w:sz w:val="32"/>
          <w:szCs w:val="32"/>
          <w:highlight w:val="none"/>
          <w:lang w:val="en-US" w:eastAsia="zh-CN"/>
        </w:rPr>
        <w:t>（四）部门整体绩效管理情况</w:t>
      </w:r>
      <w:r>
        <w:rPr>
          <w:rFonts w:hint="eastAsia" w:ascii="Times New Roman" w:hAnsi="Times New Roman" w:eastAsia="仿宋_GB2312" w:cs="Times New Roman"/>
          <w:bCs w:val="0"/>
          <w:color w:val="000000"/>
          <w:kern w:val="2"/>
          <w:sz w:val="32"/>
          <w:szCs w:val="32"/>
          <w:highlight w:val="none"/>
          <w:lang w:val="en-US" w:eastAsia="zh-CN" w:bidi="ar-SA"/>
        </w:rPr>
        <w:t>（简要介绍</w:t>
      </w:r>
      <w:r>
        <w:rPr>
          <w:rFonts w:hint="eastAsia" w:cs="Times New Roman"/>
          <w:bCs w:val="0"/>
          <w:color w:val="000000"/>
          <w:kern w:val="2"/>
          <w:sz w:val="32"/>
          <w:szCs w:val="32"/>
          <w:highlight w:val="none"/>
          <w:lang w:val="en-US" w:eastAsia="zh-CN" w:bidi="ar-SA"/>
        </w:rPr>
        <w:t>部门整体</w:t>
      </w:r>
      <w:r>
        <w:rPr>
          <w:rFonts w:hint="eastAsia" w:ascii="Times New Roman" w:hAnsi="Times New Roman" w:eastAsia="仿宋_GB2312" w:cs="Times New Roman"/>
          <w:bCs w:val="0"/>
          <w:color w:val="000000"/>
          <w:kern w:val="2"/>
          <w:sz w:val="32"/>
          <w:szCs w:val="32"/>
          <w:highlight w:val="none"/>
          <w:lang w:val="en-US" w:eastAsia="zh-CN" w:bidi="ar-SA"/>
        </w:rPr>
        <w:t>绩效目标和指标设定、</w:t>
      </w:r>
      <w:r>
        <w:rPr>
          <w:rFonts w:hint="eastAsia" w:cs="Times New Roman"/>
          <w:bCs w:val="0"/>
          <w:color w:val="000000"/>
          <w:kern w:val="2"/>
          <w:sz w:val="32"/>
          <w:szCs w:val="32"/>
          <w:highlight w:val="none"/>
          <w:lang w:val="en-US" w:eastAsia="zh-CN" w:bidi="ar-SA"/>
        </w:rPr>
        <w:t>绩效</w:t>
      </w:r>
      <w:r>
        <w:rPr>
          <w:rFonts w:hint="eastAsia" w:ascii="Times New Roman" w:hAnsi="Times New Roman" w:eastAsia="仿宋_GB2312" w:cs="Times New Roman"/>
          <w:bCs w:val="0"/>
          <w:color w:val="000000"/>
          <w:kern w:val="2"/>
          <w:sz w:val="32"/>
          <w:szCs w:val="32"/>
          <w:highlight w:val="none"/>
          <w:lang w:val="en-US" w:eastAsia="zh-CN" w:bidi="ar-SA"/>
        </w:rPr>
        <w:t>运行监控等</w:t>
      </w:r>
      <w:r>
        <w:rPr>
          <w:rFonts w:hint="eastAsia" w:cs="Times New Roman"/>
          <w:bCs w:val="0"/>
          <w:color w:val="000000"/>
          <w:kern w:val="2"/>
          <w:sz w:val="32"/>
          <w:szCs w:val="32"/>
          <w:highlight w:val="none"/>
          <w:lang w:val="en-US" w:eastAsia="zh-CN" w:bidi="ar-SA"/>
        </w:rPr>
        <w:t>绩效</w:t>
      </w:r>
      <w:r>
        <w:rPr>
          <w:rFonts w:hint="eastAsia" w:ascii="Times New Roman" w:hAnsi="Times New Roman" w:eastAsia="仿宋_GB2312" w:cs="Times New Roman"/>
          <w:bCs w:val="0"/>
          <w:color w:val="000000"/>
          <w:kern w:val="2"/>
          <w:sz w:val="32"/>
          <w:szCs w:val="32"/>
          <w:highlight w:val="none"/>
          <w:lang w:val="en-US" w:eastAsia="zh-CN" w:bidi="ar-SA"/>
        </w:rPr>
        <w:t>管理</w:t>
      </w:r>
      <w:r>
        <w:rPr>
          <w:rFonts w:hint="eastAsia" w:cs="Times New Roman"/>
          <w:bCs w:val="0"/>
          <w:color w:val="000000"/>
          <w:kern w:val="2"/>
          <w:sz w:val="32"/>
          <w:szCs w:val="32"/>
          <w:highlight w:val="none"/>
          <w:lang w:val="en-US" w:eastAsia="zh-CN" w:bidi="ar-SA"/>
        </w:rPr>
        <w:t>制度</w:t>
      </w:r>
      <w:r>
        <w:rPr>
          <w:rFonts w:hint="eastAsia" w:ascii="Times New Roman" w:hAnsi="Times New Roman" w:eastAsia="仿宋_GB2312" w:cs="Times New Roman"/>
          <w:bCs w:val="0"/>
          <w:color w:val="000000"/>
          <w:kern w:val="2"/>
          <w:sz w:val="32"/>
          <w:szCs w:val="32"/>
          <w:highlight w:val="none"/>
          <w:lang w:val="en-US" w:eastAsia="zh-CN" w:bidi="ar-SA"/>
        </w:rPr>
        <w:t>执行情况）</w:t>
      </w:r>
    </w:p>
    <w:p>
      <w:pPr>
        <w:pStyle w:val="2"/>
        <w:spacing w:line="240" w:lineRule="auto"/>
        <w:ind w:left="0" w:leftChars="0" w:firstLine="640" w:firstLineChars="200"/>
        <w:rPr>
          <w:rFonts w:hint="eastAsia"/>
          <w:lang w:val="en-US" w:eastAsia="zh-CN"/>
        </w:rPr>
      </w:pPr>
      <w:r>
        <w:rPr>
          <w:rFonts w:hint="eastAsia"/>
          <w:lang w:val="en-US" w:eastAsia="zh-CN"/>
        </w:rPr>
        <w:t>我局领导高度重视绩效管理工作，提前谋划、统筹安排全年项目绩效工作，提前布置各个项目具体承担部门结合次年重点工作任务认真研究和制定绩效目标体系，做好预算项目库申报工作。申报项目预算绩效目标按照区财政局2022年部门预算绩效目标编审要求，与部门预算编制工作同步进行，融入部门预算编审流程进行编报。预算执行中，执行单位以绩效目标为基本要求，在年度项目执行过程中认真督促和监管，按季度、年度报送绩效完成情况，努力完成年初制定绩效考核指标，做到资金投入效益最大化。</w:t>
      </w:r>
    </w:p>
    <w:p>
      <w:pPr>
        <w:pStyle w:val="2"/>
        <w:ind w:left="0" w:leftChars="0" w:firstLine="0" w:firstLineChars="0"/>
        <w:rPr>
          <w:rFonts w:hint="eastAsia"/>
          <w:lang w:val="en-US" w:eastAsia="zh-CN"/>
        </w:rPr>
      </w:pPr>
      <w:r>
        <w:rPr>
          <w:rFonts w:hint="eastAsia"/>
          <w:lang w:val="en-US" w:eastAsia="zh-CN"/>
        </w:rPr>
        <w:t>　　2022年度建立了部门整体支出个性指标体系，内容涵盖了部门职责、总体绩效目标、年度重点工作任务、年度绩效目标、部门工作目标任务和具体的考核指标27条。按照科学规范、客观公正、结果导向、执行有效的原则，以编制预算时提出的2022年工作任务及措施为主要依据，按照“谁申请资金，谁编制目标”的原则，结合“十四五”规划、年初预算进行梳理、归纳，我单位在编制预算时，同时编制了相应的绩效目标。为进一步细化绩效指标内容、明确绩效标准，建立了本部门整体支出绩效评价指标体系，指标体系由2个一级指标，包括履职效能、管理效率；9个二级指标，包括部门并未开展重点项目绩效评价工作、专项效能、预算编制、预算执行、信息公开、绩效管理、采购管理、资产管理、运行成本；27个三级指标组成。</w:t>
      </w:r>
    </w:p>
    <w:p>
      <w:pPr>
        <w:pStyle w:val="2"/>
        <w:ind w:left="0" w:leftChars="0" w:firstLine="640" w:firstLineChars="200"/>
        <w:rPr>
          <w:rFonts w:hint="default"/>
          <w:lang w:val="en-US" w:eastAsia="zh-CN"/>
        </w:rPr>
      </w:pPr>
      <w:r>
        <w:rPr>
          <w:rFonts w:hint="eastAsia"/>
          <w:lang w:val="en-US" w:eastAsia="zh-CN"/>
        </w:rPr>
        <w:t>我局</w:t>
      </w:r>
      <w:r>
        <w:rPr>
          <w:rFonts w:hint="default"/>
          <w:lang w:val="en-US" w:eastAsia="zh-CN"/>
        </w:rPr>
        <w:t>定期对各科室项目预算执行情况进行监督检查，对项目执行中存在的问题督促并及时进行整改。项目实施完成后，按照相关管理要求对项目绩效指标的完成情况和项目支出结果进行评价。</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w:hAnsi="Times New Roman" w:eastAsia="仿宋_GB2312" w:cs="Times New Roman"/>
          <w:color w:val="000000"/>
          <w:sz w:val="32"/>
          <w:szCs w:val="32"/>
          <w:highlight w:val="none"/>
          <w:lang w:val="en-US" w:eastAsia="zh-CN"/>
        </w:rPr>
      </w:pPr>
      <w:bookmarkStart w:id="4" w:name="_Toc13358"/>
      <w:bookmarkStart w:id="5" w:name="_Toc2560"/>
      <w:bookmarkStart w:id="6" w:name="_Toc5238"/>
      <w:bookmarkStart w:id="7" w:name="_Toc6706"/>
      <w:r>
        <w:rPr>
          <w:rFonts w:hint="eastAsia"/>
          <w:color w:val="000000"/>
          <w:sz w:val="32"/>
          <w:highlight w:val="none"/>
          <w:lang w:eastAsia="zh-CN"/>
        </w:rPr>
        <w:t>二</w:t>
      </w:r>
      <w:r>
        <w:rPr>
          <w:rFonts w:hint="eastAsia"/>
          <w:color w:val="000000"/>
          <w:sz w:val="32"/>
          <w:highlight w:val="none"/>
        </w:rPr>
        <w:t>、</w:t>
      </w:r>
      <w:r>
        <w:rPr>
          <w:rFonts w:hint="eastAsia"/>
          <w:color w:val="000000"/>
          <w:sz w:val="32"/>
          <w:highlight w:val="none"/>
          <w:lang w:eastAsia="zh-CN"/>
        </w:rPr>
        <w:t>综合评价分析</w:t>
      </w:r>
      <w:r>
        <w:rPr>
          <w:rFonts w:hint="eastAsia" w:ascii="Times New Roman" w:hAnsi="Times New Roman" w:eastAsia="仿宋_GB2312" w:cs="Times New Roman"/>
          <w:color w:val="000000"/>
          <w:sz w:val="32"/>
          <w:szCs w:val="32"/>
          <w:highlight w:val="none"/>
          <w:lang w:val="en-US" w:eastAsia="zh-CN"/>
        </w:rPr>
        <w:t>（该部分</w:t>
      </w:r>
      <w:r>
        <w:rPr>
          <w:rFonts w:hint="eastAsia" w:ascii="Times New Roman" w:hAnsi="Times New Roman" w:eastAsia="仿宋_GB2312" w:cs="Times New Roman"/>
          <w:bCs w:val="0"/>
          <w:color w:val="000000"/>
          <w:kern w:val="2"/>
          <w:sz w:val="32"/>
          <w:szCs w:val="32"/>
          <w:highlight w:val="none"/>
          <w:lang w:val="en-US" w:eastAsia="zh-CN" w:bidi="ar-SA"/>
        </w:rPr>
        <w:t>逐项自评各个评价维度的具体得分情况，综合分析部门整体绩效目标完成情况、主要工作成效以及扣</w:t>
      </w:r>
      <w:r>
        <w:rPr>
          <w:rFonts w:hint="eastAsia" w:ascii="Times New Roman" w:hAnsi="Times New Roman" w:eastAsia="仿宋_GB2312" w:cs="Times New Roman"/>
          <w:color w:val="000000"/>
          <w:sz w:val="32"/>
          <w:szCs w:val="32"/>
          <w:highlight w:val="none"/>
          <w:lang w:val="en-US" w:eastAsia="zh-CN"/>
        </w:rPr>
        <w:t>分原因等）</w:t>
      </w:r>
      <w:bookmarkEnd w:id="4"/>
      <w:bookmarkEnd w:id="5"/>
      <w:bookmarkEnd w:id="6"/>
      <w:bookmarkEnd w:id="7"/>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bookmarkStart w:id="8" w:name="_Toc1487"/>
      <w:bookmarkStart w:id="9" w:name="_Toc26520"/>
      <w:bookmarkStart w:id="10" w:name="_Toc7453"/>
      <w:bookmarkStart w:id="11" w:name="_Toc8786"/>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一</w:t>
      </w:r>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自评结论综述</w:t>
      </w:r>
      <w:r>
        <w:rPr>
          <w:rFonts w:hint="eastAsia" w:ascii="Times New Roman" w:hAnsi="Times New Roman" w:eastAsia="仿宋_GB2312" w:cs="Times New Roman"/>
          <w:bCs w:val="0"/>
          <w:color w:val="000000"/>
          <w:kern w:val="2"/>
          <w:sz w:val="32"/>
          <w:szCs w:val="32"/>
          <w:highlight w:val="none"/>
          <w:lang w:val="en-US" w:eastAsia="zh-CN" w:bidi="ar-SA"/>
        </w:rPr>
        <w:t>（简要介绍部门整体支出绩效自评结果、绩效自评分值等情况）</w:t>
      </w:r>
      <w:bookmarkEnd w:id="8"/>
      <w:bookmarkEnd w:id="9"/>
      <w:bookmarkEnd w:id="10"/>
      <w:bookmarkEnd w:id="11"/>
    </w:p>
    <w:p>
      <w:pPr>
        <w:rPr>
          <w:rFonts w:hint="default" w:eastAsia="仿宋_GB2312"/>
          <w:lang w:val="en-US" w:eastAsia="zh-CN"/>
        </w:rPr>
      </w:pPr>
      <w:r>
        <w:rPr>
          <w:rFonts w:hint="eastAsia"/>
        </w:rPr>
        <w:t>我部门运用合理的绩效管理评价方法，对202</w:t>
      </w:r>
      <w:r>
        <w:rPr>
          <w:rFonts w:hint="eastAsia"/>
          <w:lang w:val="en-US" w:eastAsia="zh-CN"/>
        </w:rPr>
        <w:t>2</w:t>
      </w:r>
      <w:r>
        <w:rPr>
          <w:rFonts w:hint="eastAsia"/>
        </w:rPr>
        <w:t>年度基本支出</w:t>
      </w:r>
      <w:r>
        <w:rPr>
          <w:rFonts w:hint="eastAsia"/>
          <w:lang w:val="en-US" w:eastAsia="zh-CN"/>
        </w:rPr>
        <w:t>940.02</w:t>
      </w:r>
      <w:r>
        <w:rPr>
          <w:rFonts w:hint="eastAsia"/>
        </w:rPr>
        <w:t>万元和</w:t>
      </w:r>
      <w:r>
        <w:rPr>
          <w:rFonts w:hint="eastAsia"/>
          <w:lang w:val="en-US" w:eastAsia="zh-CN"/>
        </w:rPr>
        <w:t>4</w:t>
      </w:r>
      <w:r>
        <w:rPr>
          <w:rFonts w:hint="eastAsia"/>
        </w:rPr>
        <w:t>个项目共</w:t>
      </w:r>
      <w:r>
        <w:rPr>
          <w:rFonts w:hint="eastAsia"/>
          <w:lang w:val="en-US" w:eastAsia="zh-CN"/>
        </w:rPr>
        <w:t>328.82</w:t>
      </w:r>
      <w:r>
        <w:rPr>
          <w:rFonts w:hint="eastAsia"/>
        </w:rPr>
        <w:t>万元</w:t>
      </w:r>
      <w:r>
        <w:rPr>
          <w:rFonts w:hint="eastAsia"/>
          <w:lang w:eastAsia="zh-CN"/>
        </w:rPr>
        <w:t>部门</w:t>
      </w:r>
      <w:r>
        <w:rPr>
          <w:rFonts w:hint="eastAsia"/>
        </w:rPr>
        <w:t>预算资金的支出经济性、效率性、有效性和可持续性进行客观、公正的评价，预算资金的分配使用均按照规定执行，各项重点项目绩效指标都保证按时按量完成，保证了各项目资金依法管理与使用。部门整体支出绩效自评等级为优。部门能按照年初制定的绩效目标开展各项工作，完成各项重点工作任务，年度预算执行率达到</w:t>
      </w:r>
      <w:r>
        <w:rPr>
          <w:rFonts w:hint="eastAsia"/>
          <w:lang w:val="en-US" w:eastAsia="zh-CN"/>
        </w:rPr>
        <w:t>99.99</w:t>
      </w:r>
      <w:r>
        <w:rPr>
          <w:rFonts w:hint="eastAsia"/>
        </w:rPr>
        <w:t>%，能按照项目实施方案完成项目工作，较好的完成了各个项目的年度目标，年度目标和长期目标匹配性较高</w:t>
      </w:r>
      <w:r>
        <w:rPr>
          <w:rFonts w:hint="eastAsia"/>
          <w:lang w:eastAsia="zh-CN"/>
        </w:rPr>
        <w:t>，绩效自评得分</w:t>
      </w:r>
      <w:r>
        <w:rPr>
          <w:rFonts w:hint="eastAsia"/>
          <w:lang w:val="en-US" w:eastAsia="zh-CN"/>
        </w:rPr>
        <w:t>99分。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二</w:t>
      </w:r>
      <w:r>
        <w:rPr>
          <w:rFonts w:hint="eastAsia" w:ascii="楷体_GB2312" w:hAnsi="楷体_GB2312" w:eastAsia="楷体_GB2312" w:cs="楷体_GB2312"/>
          <w:b/>
          <w:bCs/>
          <w:color w:val="000000"/>
          <w:kern w:val="44"/>
          <w:sz w:val="32"/>
          <w:highlight w:val="none"/>
        </w:rPr>
        <w:t>）各项</w:t>
      </w:r>
      <w:r>
        <w:rPr>
          <w:rFonts w:hint="eastAsia" w:ascii="楷体_GB2312" w:hAnsi="楷体_GB2312" w:eastAsia="楷体_GB2312" w:cs="楷体_GB2312"/>
          <w:b/>
          <w:bCs/>
          <w:color w:val="000000"/>
          <w:kern w:val="44"/>
          <w:sz w:val="32"/>
          <w:highlight w:val="none"/>
          <w:lang w:eastAsia="zh-CN"/>
        </w:rPr>
        <w:t>工作任务</w:t>
      </w:r>
      <w:r>
        <w:rPr>
          <w:rFonts w:hint="eastAsia" w:ascii="楷体_GB2312" w:hAnsi="楷体_GB2312" w:eastAsia="楷体_GB2312" w:cs="楷体_GB2312"/>
          <w:b/>
          <w:bCs/>
          <w:color w:val="000000"/>
          <w:kern w:val="44"/>
          <w:sz w:val="32"/>
          <w:highlight w:val="none"/>
        </w:rPr>
        <w:t>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lang w:eastAsia="zh-CN"/>
        </w:rPr>
      </w:pPr>
      <w:r>
        <w:rPr>
          <w:rFonts w:hint="eastAsia"/>
        </w:rPr>
        <w:t>我部门202</w:t>
      </w:r>
      <w:r>
        <w:rPr>
          <w:rFonts w:hint="eastAsia"/>
          <w:lang w:val="en-US" w:eastAsia="zh-CN"/>
        </w:rPr>
        <w:t>2</w:t>
      </w:r>
      <w:r>
        <w:rPr>
          <w:rFonts w:hint="eastAsia"/>
        </w:rPr>
        <w:t>年度设立绩效目标依据部门总体目标设立部门整体支出绩效目标2</w:t>
      </w:r>
      <w:r>
        <w:rPr>
          <w:rFonts w:hint="eastAsia"/>
          <w:lang w:val="en-US" w:eastAsia="zh-CN"/>
        </w:rPr>
        <w:t>7条</w:t>
      </w:r>
      <w:r>
        <w:rPr>
          <w:rFonts w:hint="eastAsia"/>
          <w:lang w:eastAsia="zh-CN"/>
        </w:rPr>
        <w:t>，</w:t>
      </w:r>
      <w:r>
        <w:rPr>
          <w:rFonts w:hint="eastAsia"/>
        </w:rPr>
        <w:t>均已完成</w:t>
      </w:r>
      <w:r>
        <w:rPr>
          <w:rFonts w:hint="eastAsia"/>
          <w:lang w:eastAsia="zh-CN"/>
        </w:rPr>
        <w:t>，</w:t>
      </w:r>
      <w:r>
        <w:rPr>
          <w:rFonts w:hint="eastAsia"/>
        </w:rPr>
        <w:t>大部分指标实现预期</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rPr>
      </w:pPr>
      <w:r>
        <w:rPr>
          <w:rFonts w:hint="eastAsia"/>
        </w:rPr>
        <w:t>预算管理基本规范，预算支出能保障部门年度工作的正常开展；管理制度健全，资产管理基本规范；政府采购执行有效；部门履职效益得到良好体现。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预算执行：严格按照财政批复的部门预算执行，严格控制部门年度结转结余，严格把控对存量资金的实际控制程度，严格控制部门“三公经费”支出。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预算管理：加强预算管理、规范财务行为，制定合理的预算管理制度，使用预算资金符合相关的预算财务管理制度的规定，按照政府信息公开有关规定公开相关预决算信息。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25"/>
        <w:textAlignment w:val="auto"/>
        <w:outlineLvl w:val="9"/>
        <w:rPr>
          <w:rFonts w:hint="eastAsia"/>
        </w:rPr>
      </w:pPr>
      <w:r>
        <w:rPr>
          <w:rFonts w:hint="eastAsia" w:ascii="仿宋_GB2312" w:hAnsi="仿宋_GB2312" w:eastAsia="仿宋_GB2312" w:cs="仿宋_GB2312"/>
          <w:color w:val="000000"/>
          <w:sz w:val="32"/>
          <w:szCs w:val="32"/>
          <w:highlight w:val="none"/>
          <w:lang w:val="en-US" w:eastAsia="zh-CN"/>
        </w:rPr>
        <w:t>资产管理：制定合理的资产管理制度，固定资产保存完整、使用合规，定期盘点清理固定资产，利用固定资产信息管理系统实行固定资产动态管理，确保固定资产账实相符。</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三</w:t>
      </w:r>
      <w:r>
        <w:rPr>
          <w:rFonts w:hint="eastAsia" w:ascii="楷体_GB2312" w:hAnsi="楷体_GB2312" w:eastAsia="楷体_GB2312" w:cs="楷体_GB2312"/>
          <w:b/>
          <w:bCs/>
          <w:color w:val="000000"/>
          <w:kern w:val="44"/>
          <w:sz w:val="32"/>
          <w:highlight w:val="none"/>
        </w:rPr>
        <w:t>）各</w:t>
      </w:r>
      <w:r>
        <w:rPr>
          <w:rFonts w:hint="eastAsia" w:ascii="楷体_GB2312" w:hAnsi="楷体_GB2312" w:eastAsia="楷体_GB2312" w:cs="楷体_GB2312"/>
          <w:b/>
          <w:bCs/>
          <w:color w:val="000000"/>
          <w:kern w:val="44"/>
          <w:sz w:val="32"/>
          <w:highlight w:val="none"/>
          <w:lang w:eastAsia="zh-CN"/>
        </w:rPr>
        <w:t>重点任务</w:t>
      </w:r>
      <w:r>
        <w:rPr>
          <w:rFonts w:hint="eastAsia" w:ascii="楷体_GB2312" w:hAnsi="楷体_GB2312" w:eastAsia="楷体_GB2312" w:cs="楷体_GB2312"/>
          <w:b/>
          <w:bCs/>
          <w:color w:val="000000"/>
          <w:kern w:val="44"/>
          <w:sz w:val="32"/>
          <w:highlight w:val="none"/>
        </w:rPr>
        <w:t>项目支出完成情况分析</w:t>
      </w:r>
    </w:p>
    <w:p>
      <w:pPr>
        <w:pStyle w:val="2"/>
        <w:ind w:left="0" w:leftChars="0" w:firstLine="640" w:firstLineChars="200"/>
        <w:rPr>
          <w:rFonts w:hint="eastAsia" w:eastAsia="仿宋_GB2312"/>
          <w:lang w:eastAsia="zh-CN"/>
        </w:rPr>
      </w:pPr>
      <w:r>
        <w:rPr>
          <w:rFonts w:hint="eastAsia"/>
          <w:lang w:eastAsia="zh-CN"/>
        </w:rPr>
        <w:t>我</w:t>
      </w:r>
      <w:r>
        <w:rPr>
          <w:rFonts w:hint="eastAsia"/>
        </w:rPr>
        <w:t>部门并未开展重点项目绩效评价工作</w:t>
      </w:r>
      <w:r>
        <w:rPr>
          <w:rFonts w:hint="eastAsia"/>
          <w:lang w:eastAsia="zh-CN"/>
        </w:rPr>
        <w:t>。</w:t>
      </w:r>
    </w:p>
    <w:p>
      <w:pPr>
        <w:ind w:left="0" w:leftChars="0" w:firstLine="643" w:firstLineChars="200"/>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（四）主要工作成效</w:t>
      </w:r>
    </w:p>
    <w:p>
      <w:pPr>
        <w:pStyle w:val="2"/>
        <w:ind w:left="0" w:leftChars="0" w:firstLine="640" w:firstLineChars="200"/>
        <w:rPr>
          <w:rFonts w:hint="eastAsia" w:eastAsia="仿宋_GB2312"/>
          <w:lang w:eastAsia="zh-CN"/>
        </w:rPr>
      </w:pPr>
      <w:r>
        <w:rPr>
          <w:rFonts w:hint="eastAsia"/>
          <w:lang w:val="en-US" w:eastAsia="zh-CN"/>
        </w:rPr>
        <w:t>1.</w:t>
      </w:r>
      <w:r>
        <w:rPr>
          <w:rFonts w:hint="eastAsia"/>
        </w:rPr>
        <w:t>气象综合观测运行保障维持能力持续得到提升。各类气象数据采集设备、气象监测设备、传输设备运行正常,气象服务、预警信息发布及时，及时向</w:t>
      </w:r>
      <w:r>
        <w:rPr>
          <w:rFonts w:hint="eastAsia"/>
          <w:lang w:eastAsia="zh-CN"/>
        </w:rPr>
        <w:t>区</w:t>
      </w:r>
      <w:r>
        <w:rPr>
          <w:rFonts w:hint="eastAsia"/>
        </w:rPr>
        <w:t>委政府、各部门提供所需的决策气象服务，气象灾害预报预警服务效果好。气象基础业务质量继续巩固，各项业务服务指标达到或超过考核标准。保障各气象业务平台软、硬件的正常运转，发挥气象综合保障作用，为</w:t>
      </w:r>
      <w:r>
        <w:rPr>
          <w:rFonts w:hint="eastAsia"/>
          <w:lang w:eastAsia="zh-CN"/>
        </w:rPr>
        <w:t>我区</w:t>
      </w:r>
      <w:r>
        <w:rPr>
          <w:rFonts w:hint="eastAsia"/>
        </w:rPr>
        <w:t>经济社会发展和民众生活出行等提供优质气象服务</w:t>
      </w:r>
      <w:r>
        <w:rPr>
          <w:rFonts w:hint="eastAsia"/>
          <w:lang w:eastAsia="zh-CN"/>
        </w:rPr>
        <w:t>。</w:t>
      </w:r>
    </w:p>
    <w:p>
      <w:pPr>
        <w:pStyle w:val="2"/>
        <w:ind w:left="0" w:leftChars="0" w:firstLine="640" w:firstLineChars="200"/>
        <w:rPr>
          <w:rFonts w:hint="eastAsia"/>
        </w:rPr>
      </w:pPr>
      <w:r>
        <w:rPr>
          <w:rFonts w:hint="eastAsia"/>
          <w:lang w:val="en-US" w:eastAsia="zh-CN"/>
        </w:rPr>
        <w:t>2.</w:t>
      </w:r>
      <w:r>
        <w:rPr>
          <w:rFonts w:hint="eastAsia"/>
        </w:rPr>
        <w:t>预报预警服务能力显著提高，全力做好防灾减灾工作</w:t>
      </w:r>
      <w:r>
        <w:rPr>
          <w:rFonts w:hint="eastAsia"/>
          <w:lang w:eastAsia="zh-CN"/>
        </w:rPr>
        <w:t>，</w:t>
      </w:r>
      <w:r>
        <w:rPr>
          <w:rFonts w:hint="eastAsia"/>
        </w:rPr>
        <w:t>有效提升了气象预警业务能力和预警信息发布能力。完善以预警信息为先导的气象灾害应急处置长效机制。推进气象灾害风险普查成果应用。</w:t>
      </w:r>
    </w:p>
    <w:p>
      <w:pPr>
        <w:pStyle w:val="2"/>
        <w:ind w:left="0" w:leftChars="0" w:firstLine="640" w:firstLineChars="200"/>
        <w:rPr>
          <w:rFonts w:hint="eastAsia"/>
        </w:rPr>
      </w:pPr>
      <w:r>
        <w:rPr>
          <w:rFonts w:hint="eastAsia"/>
          <w:lang w:val="en-US" w:eastAsia="zh-CN"/>
        </w:rPr>
        <w:t>3.</w:t>
      </w:r>
      <w:r>
        <w:rPr>
          <w:rFonts w:hint="eastAsia"/>
        </w:rPr>
        <w:t>气象业务各项服务效益得到提升。各类气象数据采集设备、传输设备运行正常，预警信息发布及时，服务效益好，为各部门正确决策提供气象信息支撑。公众气象服务成效显著。城市气象服务能力显著增强。</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bookmarkStart w:id="12" w:name="_Toc10735"/>
      <w:bookmarkStart w:id="13" w:name="_Toc26210"/>
      <w:bookmarkStart w:id="14" w:name="_Toc21266"/>
      <w:bookmarkStart w:id="15" w:name="_Toc696"/>
      <w:r>
        <w:rPr>
          <w:rFonts w:hint="eastAsia"/>
          <w:color w:val="000000"/>
          <w:sz w:val="32"/>
          <w:highlight w:val="none"/>
          <w:lang w:eastAsia="zh-CN"/>
        </w:rPr>
        <w:t>三</w:t>
      </w:r>
      <w:r>
        <w:rPr>
          <w:rFonts w:hint="eastAsia"/>
          <w:color w:val="000000"/>
          <w:sz w:val="32"/>
          <w:highlight w:val="none"/>
        </w:rPr>
        <w:t>、</w:t>
      </w:r>
      <w:r>
        <w:rPr>
          <w:rFonts w:hint="eastAsia" w:ascii="黑体" w:hAnsi="黑体" w:eastAsia="黑体" w:cs="Times New Roman"/>
          <w:bCs/>
          <w:color w:val="000000"/>
          <w:kern w:val="44"/>
          <w:sz w:val="32"/>
          <w:szCs w:val="44"/>
          <w:highlight w:val="none"/>
          <w:lang w:val="en-US" w:eastAsia="zh-CN" w:bidi="ar-SA"/>
        </w:rPr>
        <w:t>存在的主要问题</w:t>
      </w:r>
      <w:r>
        <w:rPr>
          <w:rFonts w:hint="eastAsia" w:ascii="仿宋_GB2312" w:hAnsi="仿宋_GB2312" w:eastAsia="仿宋_GB2312" w:cs="仿宋_GB2312"/>
          <w:b w:val="0"/>
          <w:bCs w:val="0"/>
          <w:color w:val="000000"/>
          <w:sz w:val="32"/>
          <w:szCs w:val="32"/>
          <w:highlight w:val="none"/>
          <w:lang w:val="en-US" w:eastAsia="zh-CN"/>
        </w:rPr>
        <w:t>（简要分析部门整体支出方面存在的主要问题，应在各指标分析过程中发现的各类问题基础之上，结合目标设定、实施管理、完成进度等情况，分析梳理政策制定、目标设置、工作机制、组织实施等各方面的问题和原因）</w:t>
      </w:r>
      <w:bookmarkEnd w:id="12"/>
      <w:bookmarkEnd w:id="13"/>
      <w:bookmarkEnd w:id="14"/>
      <w:bookmarkEnd w:id="15"/>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color w:val="auto"/>
          <w:sz w:val="32"/>
          <w:highlight w:val="none"/>
        </w:rPr>
      </w:pPr>
      <w:r>
        <w:rPr>
          <w:rFonts w:hint="eastAsia" w:ascii="仿宋_GB2312" w:hAnsi="仿宋_GB2312" w:eastAsia="仿宋_GB2312" w:cs="仿宋_GB2312"/>
          <w:b w:val="0"/>
          <w:bCs w:val="0"/>
          <w:color w:val="auto"/>
          <w:sz w:val="32"/>
          <w:szCs w:val="32"/>
          <w:highlight w:val="none"/>
          <w:lang w:val="en-US" w:eastAsia="zh-CN"/>
        </w:rPr>
        <w:t>一是绩效目标制定与单位工作目标衔接不好，目标设立与实际工作任务存在差异，绩效指标体系整体设定水平还有待提高，项目绩效指标体系和重点任务结合度、前瞻性还不够；二是绩效管理经验不足，绩效管理的专业化程度不高，绩效管理人员的绩效管理能力有待提升；三是预算绩效监控内控管理有待加强。部门预算绩效监控的内控制度不够完善，绩效目标督导方式单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黑体" w:hAnsi="黑体" w:eastAsia="黑体" w:cs="黑体"/>
          <w:color w:val="000000"/>
          <w:sz w:val="32"/>
          <w:highlight w:val="none"/>
          <w:lang w:eastAsia="zh-CN"/>
        </w:rPr>
        <w:t>四</w:t>
      </w:r>
      <w:r>
        <w:rPr>
          <w:rFonts w:hint="eastAsia" w:ascii="黑体" w:hAnsi="黑体" w:eastAsia="黑体" w:cs="黑体"/>
          <w:color w:val="000000"/>
          <w:sz w:val="32"/>
          <w:highlight w:val="none"/>
        </w:rPr>
        <w:t>、</w:t>
      </w:r>
      <w:r>
        <w:rPr>
          <w:rFonts w:hint="eastAsia" w:ascii="黑体" w:hAnsi="黑体" w:eastAsia="黑体" w:cs="黑体"/>
          <w:color w:val="000000"/>
          <w:sz w:val="32"/>
          <w:highlight w:val="none"/>
          <w:lang w:eastAsia="zh-CN"/>
        </w:rPr>
        <w:t>下一步</w:t>
      </w:r>
      <w:r>
        <w:rPr>
          <w:rFonts w:hint="eastAsia" w:ascii="黑体" w:hAnsi="黑体" w:eastAsia="黑体" w:cs="黑体"/>
          <w:color w:val="000000"/>
          <w:sz w:val="32"/>
          <w:highlight w:val="none"/>
        </w:rPr>
        <w:t>改进</w:t>
      </w:r>
      <w:r>
        <w:rPr>
          <w:rFonts w:hint="eastAsia" w:ascii="黑体" w:hAnsi="黑体" w:eastAsia="黑体" w:cs="黑体"/>
          <w:color w:val="000000"/>
          <w:sz w:val="32"/>
          <w:highlight w:val="none"/>
          <w:lang w:eastAsia="zh-CN"/>
        </w:rPr>
        <w:t>措施</w:t>
      </w:r>
      <w:r>
        <w:rPr>
          <w:rFonts w:hint="eastAsia" w:ascii="仿宋_GB2312" w:hAnsi="仿宋_GB2312" w:eastAsia="仿宋_GB2312" w:cs="仿宋_GB2312"/>
          <w:b w:val="0"/>
          <w:bCs w:val="0"/>
          <w:color w:val="000000"/>
          <w:sz w:val="32"/>
          <w:szCs w:val="32"/>
          <w:highlight w:val="none"/>
          <w:lang w:val="en-US" w:eastAsia="zh-CN"/>
        </w:rPr>
        <w:t>（结合绩效自评中发现的问题</w:t>
      </w:r>
      <w:r>
        <w:rPr>
          <w:rFonts w:hint="eastAsia" w:ascii="仿宋_GB2312" w:eastAsia="仿宋_GB2312"/>
          <w:sz w:val="32"/>
          <w:szCs w:val="32"/>
          <w:highlight w:val="none"/>
        </w:rPr>
        <w:t>提出完善意见</w:t>
      </w:r>
      <w:r>
        <w:rPr>
          <w:rFonts w:hint="eastAsia" w:ascii="仿宋_GB2312" w:hAnsi="仿宋_GB2312" w:eastAsia="仿宋_GB2312" w:cs="仿宋_GB2312"/>
          <w:b w:val="0"/>
          <w:bCs w:val="0"/>
          <w:color w:val="000000"/>
          <w:sz w:val="32"/>
          <w:szCs w:val="32"/>
          <w:highlight w:val="none"/>
          <w:lang w:val="en-US" w:eastAsia="zh-CN"/>
        </w:rPr>
        <w:t>，比如就如何</w:t>
      </w:r>
      <w:r>
        <w:rPr>
          <w:rFonts w:hint="eastAsia" w:ascii="仿宋_GB2312" w:hAnsi="仿宋_GB2312" w:cs="仿宋_GB2312"/>
          <w:b w:val="0"/>
          <w:bCs w:val="0"/>
          <w:color w:val="000000"/>
          <w:sz w:val="32"/>
          <w:szCs w:val="32"/>
          <w:highlight w:val="none"/>
          <w:lang w:val="en-US" w:eastAsia="zh-CN"/>
        </w:rPr>
        <w:t>改进</w:t>
      </w:r>
      <w:r>
        <w:rPr>
          <w:rFonts w:hint="eastAsia" w:ascii="仿宋_GB2312" w:hAnsi="仿宋_GB2312" w:eastAsia="仿宋_GB2312" w:cs="仿宋_GB2312"/>
          <w:b w:val="0"/>
          <w:bCs w:val="0"/>
          <w:color w:val="000000"/>
          <w:sz w:val="32"/>
          <w:szCs w:val="32"/>
          <w:highlight w:val="none"/>
          <w:lang w:val="en-US" w:eastAsia="zh-CN"/>
        </w:rPr>
        <w:t>预算管理、</w:t>
      </w:r>
      <w:r>
        <w:rPr>
          <w:rFonts w:hint="eastAsia" w:ascii="仿宋_GB2312" w:hAnsi="仿宋_GB2312" w:cs="仿宋_GB2312"/>
          <w:b w:val="0"/>
          <w:bCs w:val="0"/>
          <w:color w:val="000000"/>
          <w:sz w:val="32"/>
          <w:szCs w:val="32"/>
          <w:highlight w:val="none"/>
          <w:lang w:val="en-US" w:eastAsia="zh-CN"/>
        </w:rPr>
        <w:t>加快</w:t>
      </w:r>
      <w:r>
        <w:rPr>
          <w:rFonts w:hint="eastAsia" w:ascii="仿宋_GB2312" w:hAnsi="仿宋_GB2312" w:eastAsia="仿宋_GB2312" w:cs="仿宋_GB2312"/>
          <w:b w:val="0"/>
          <w:bCs w:val="0"/>
          <w:color w:val="000000"/>
          <w:sz w:val="32"/>
          <w:szCs w:val="32"/>
          <w:highlight w:val="none"/>
          <w:lang w:val="en-US" w:eastAsia="zh-CN"/>
        </w:rPr>
        <w:t>支出执行、健全制度</w:t>
      </w:r>
      <w:r>
        <w:rPr>
          <w:rFonts w:hint="eastAsia" w:ascii="仿宋_GB2312" w:hAnsi="仿宋_GB2312" w:cs="仿宋_GB2312"/>
          <w:b w:val="0"/>
          <w:bCs w:val="0"/>
          <w:color w:val="000000"/>
          <w:sz w:val="32"/>
          <w:szCs w:val="32"/>
          <w:highlight w:val="none"/>
          <w:lang w:val="en-US" w:eastAsia="zh-CN"/>
        </w:rPr>
        <w:t>、优化完善政策</w:t>
      </w:r>
      <w:r>
        <w:rPr>
          <w:rFonts w:hint="eastAsia" w:ascii="仿宋_GB2312" w:hAnsi="仿宋_GB2312" w:eastAsia="仿宋_GB2312" w:cs="仿宋_GB2312"/>
          <w:b w:val="0"/>
          <w:bCs w:val="0"/>
          <w:color w:val="000000"/>
          <w:sz w:val="32"/>
          <w:szCs w:val="32"/>
          <w:highlight w:val="none"/>
          <w:lang w:val="en-US" w:eastAsia="zh-CN"/>
        </w:rPr>
        <w:t>等方面提出下一步改进措施）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一是科学合理编制预算，制定和完善基本支出、项目支出等各项支出标准，做到细化精确</w:t>
      </w:r>
      <w:r>
        <w:rPr>
          <w:rFonts w:hint="eastAsia" w:ascii="仿宋_GB2312"/>
          <w:sz w:val="32"/>
          <w:szCs w:val="32"/>
          <w:highlight w:val="none"/>
          <w:lang w:eastAsia="zh-CN"/>
        </w:rPr>
        <w:t>；</w:t>
      </w:r>
      <w:r>
        <w:rPr>
          <w:rFonts w:hint="eastAsia" w:ascii="仿宋_GB2312" w:eastAsia="仿宋_GB2312"/>
          <w:sz w:val="32"/>
          <w:szCs w:val="32"/>
          <w:highlight w:val="none"/>
          <w:lang w:eastAsia="zh-CN"/>
        </w:rPr>
        <w:t>二是严格按项目和计划进度执行预算，规范部门预算收支核算，增强预算的约束力和严肃性。进一步加强资金管理，充分发挥预算执行的经济性、效率性、有效性和可持续性</w:t>
      </w:r>
      <w:r>
        <w:rPr>
          <w:rFonts w:hint="eastAsia" w:ascii="仿宋_GB2312"/>
          <w:sz w:val="32"/>
          <w:szCs w:val="32"/>
          <w:highlight w:val="none"/>
          <w:lang w:eastAsia="zh-CN"/>
        </w:rPr>
        <w:t>；</w:t>
      </w:r>
      <w:r>
        <w:rPr>
          <w:rFonts w:hint="eastAsia" w:ascii="仿宋_GB2312" w:eastAsia="仿宋_GB2312"/>
          <w:sz w:val="32"/>
          <w:szCs w:val="32"/>
          <w:highlight w:val="none"/>
          <w:lang w:eastAsia="zh-CN"/>
        </w:rPr>
        <w:t>三是落实预算执行绩效评价和分析，及时了解预算执行差异和绩效完成进度，合理调整、纠正预算执行偏差，切实提高部门预算收支管理水平</w:t>
      </w:r>
      <w:r>
        <w:rPr>
          <w:rFonts w:hint="eastAsia" w:ascii="仿宋_GB2312"/>
          <w:sz w:val="32"/>
          <w:szCs w:val="32"/>
          <w:highlight w:val="none"/>
          <w:lang w:eastAsia="zh-CN"/>
        </w:rPr>
        <w:t>；</w:t>
      </w:r>
      <w:r>
        <w:rPr>
          <w:rFonts w:hint="eastAsia" w:ascii="仿宋_GB2312" w:eastAsia="仿宋_GB2312"/>
          <w:sz w:val="32"/>
          <w:szCs w:val="32"/>
          <w:highlight w:val="none"/>
          <w:lang w:eastAsia="zh-CN"/>
        </w:rPr>
        <w:t>四是完善部门绩效管理内控制度，严格执行大额资金使用和管理集体决策制度</w:t>
      </w:r>
      <w:r>
        <w:rPr>
          <w:rFonts w:hint="eastAsia" w:ascii="仿宋_GB2312"/>
          <w:sz w:val="32"/>
          <w:szCs w:val="32"/>
          <w:highlight w:val="none"/>
          <w:lang w:eastAsia="zh-CN"/>
        </w:rPr>
        <w:t>；五</w:t>
      </w:r>
      <w:r>
        <w:rPr>
          <w:rFonts w:hint="eastAsia" w:ascii="仿宋_GB2312" w:eastAsia="仿宋_GB2312"/>
          <w:sz w:val="32"/>
          <w:szCs w:val="32"/>
          <w:highlight w:val="none"/>
          <w:lang w:eastAsia="zh-CN"/>
        </w:rPr>
        <w:t>是进一步完善单位内控制度，强化组织领导，加大监督力度，加强各科室对绩效评价工作重要性认识，强化参与度</w:t>
      </w:r>
      <w:r>
        <w:rPr>
          <w:rFonts w:hint="eastAsia" w:ascii="仿宋_GB2312"/>
          <w:sz w:val="32"/>
          <w:szCs w:val="32"/>
          <w:highlight w:val="none"/>
          <w:lang w:eastAsia="zh-CN"/>
        </w:rPr>
        <w:t>；六</w:t>
      </w:r>
      <w:r>
        <w:rPr>
          <w:rFonts w:hint="eastAsia" w:ascii="仿宋_GB2312" w:eastAsia="仿宋_GB2312"/>
          <w:sz w:val="32"/>
          <w:szCs w:val="32"/>
          <w:highlight w:val="none"/>
          <w:lang w:eastAsia="zh-CN"/>
        </w:rPr>
        <w:t>是认真梳理分析单位运转和项目实施中可量化指标，细化绩效指标体系，增强绩效评价工作的科学性；</w:t>
      </w:r>
      <w:r>
        <w:rPr>
          <w:rFonts w:hint="eastAsia" w:ascii="仿宋_GB2312"/>
          <w:sz w:val="32"/>
          <w:szCs w:val="32"/>
          <w:highlight w:val="none"/>
          <w:lang w:eastAsia="zh-CN"/>
        </w:rPr>
        <w:t>七</w:t>
      </w:r>
      <w:r>
        <w:rPr>
          <w:rFonts w:hint="eastAsia" w:ascii="仿宋_GB2312" w:eastAsia="仿宋_GB2312"/>
          <w:sz w:val="32"/>
          <w:szCs w:val="32"/>
          <w:highlight w:val="none"/>
          <w:lang w:eastAsia="zh-CN"/>
        </w:rPr>
        <w:t>是加强对</w:t>
      </w:r>
      <w:r>
        <w:rPr>
          <w:rFonts w:hint="eastAsia" w:ascii="仿宋_GB2312"/>
          <w:sz w:val="32"/>
          <w:szCs w:val="32"/>
          <w:highlight w:val="none"/>
          <w:lang w:eastAsia="zh-CN"/>
        </w:rPr>
        <w:t>绩效管理</w:t>
      </w:r>
      <w:r>
        <w:rPr>
          <w:rFonts w:hint="eastAsia" w:ascii="仿宋_GB2312" w:eastAsia="仿宋_GB2312"/>
          <w:sz w:val="32"/>
          <w:szCs w:val="32"/>
          <w:highlight w:val="none"/>
          <w:lang w:eastAsia="zh-CN"/>
        </w:rPr>
        <w:t>人员工作培训力度，提升绩效工作水平。</w:t>
      </w:r>
    </w:p>
    <w:sectPr>
      <w:footerReference r:id="rId5" w:type="default"/>
      <w:pgSz w:w="11906" w:h="16838"/>
      <w:pgMar w:top="2098" w:right="1587"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3NDBmN2NjY2I5YjAyMmVkYjcwYWRhNTc1MjMzZjIifQ=="/>
    <w:docVar w:name="KGWebUrl" w:val="http://10.14.160.8/newoa/missive/kinggridOfficeServer.do?method=officeProcess"/>
  </w:docVars>
  <w:rsids>
    <w:rsidRoot w:val="2B984800"/>
    <w:rsid w:val="002D6FCF"/>
    <w:rsid w:val="06B034C4"/>
    <w:rsid w:val="0D171B07"/>
    <w:rsid w:val="0F7B261E"/>
    <w:rsid w:val="15455599"/>
    <w:rsid w:val="17114B28"/>
    <w:rsid w:val="17C2550E"/>
    <w:rsid w:val="1DED236D"/>
    <w:rsid w:val="1FE114A0"/>
    <w:rsid w:val="286D1121"/>
    <w:rsid w:val="2B984800"/>
    <w:rsid w:val="2E510CFA"/>
    <w:rsid w:val="32AA191B"/>
    <w:rsid w:val="37F774ED"/>
    <w:rsid w:val="38125513"/>
    <w:rsid w:val="39063FC7"/>
    <w:rsid w:val="3F6E7A6B"/>
    <w:rsid w:val="3F92579A"/>
    <w:rsid w:val="43797CE2"/>
    <w:rsid w:val="4B756895"/>
    <w:rsid w:val="4BBE6DBA"/>
    <w:rsid w:val="4D687EDD"/>
    <w:rsid w:val="50911140"/>
    <w:rsid w:val="53322C60"/>
    <w:rsid w:val="542E45A9"/>
    <w:rsid w:val="5ABA5A3D"/>
    <w:rsid w:val="5AD97164"/>
    <w:rsid w:val="5B2E3D6E"/>
    <w:rsid w:val="5C346840"/>
    <w:rsid w:val="62C24C4C"/>
    <w:rsid w:val="63FA1024"/>
    <w:rsid w:val="651E701B"/>
    <w:rsid w:val="67D87424"/>
    <w:rsid w:val="68F9125D"/>
    <w:rsid w:val="690579AC"/>
    <w:rsid w:val="69FF9322"/>
    <w:rsid w:val="6AF797CC"/>
    <w:rsid w:val="6E3AC4B7"/>
    <w:rsid w:val="6FA27465"/>
    <w:rsid w:val="72F53670"/>
    <w:rsid w:val="75F43664"/>
    <w:rsid w:val="792E6585"/>
    <w:rsid w:val="7AEC85AA"/>
    <w:rsid w:val="7B332C6B"/>
    <w:rsid w:val="7CB4EA9D"/>
    <w:rsid w:val="7F574D32"/>
    <w:rsid w:val="B7BF0230"/>
    <w:rsid w:val="BF344251"/>
    <w:rsid w:val="CBC7E0B2"/>
    <w:rsid w:val="CFF906F7"/>
    <w:rsid w:val="D76DEAAD"/>
    <w:rsid w:val="EEEFBB1A"/>
    <w:rsid w:val="FFCFF427"/>
    <w:rsid w:val="FFFF5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ind w:left="0"/>
      <w:outlineLvl w:val="0"/>
    </w:pPr>
    <w:rPr>
      <w:rFonts w:ascii="Times New Roman" w:hAnsi="Times New Roman" w:eastAsia="黑体" w:cs="Microsoft JhengHei"/>
      <w:bCs/>
      <w:szCs w:val="32"/>
      <w:lang w:val="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pPr>
      <w:ind w:firstLine="200" w:firstLineChars="200"/>
      <w:jc w:val="left"/>
      <w:outlineLvl w:val="2"/>
    </w:pPr>
    <w:rPr>
      <w:rFonts w:ascii="Cambria" w:hAnsi="Cambria" w:eastAsia="黑体"/>
      <w:bCs/>
      <w:kern w:val="28"/>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5576</Words>
  <Characters>5716</Characters>
  <Lines>0</Lines>
  <Paragraphs>0</Paragraphs>
  <TotalTime>10</TotalTime>
  <ScaleCrop>false</ScaleCrop>
  <LinksUpToDate>false</LinksUpToDate>
  <CharactersWithSpaces>5743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2022-02-17T23:50:00Z</dcterms:created>
  <dc:creator>凌海涛</dc:creator>
  <cp:lastModifiedBy>财务</cp:lastModifiedBy>
  <dcterms:modified xsi:type="dcterms:W3CDTF">2023-10-16T03:08:12Z</dcterms:modified>
  <dc:title>附件2-1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827CBBA871C04939931AF9E9F66101E0</vt:lpwstr>
  </property>
</Properties>
</file>