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widowControl/>
        <w:spacing w:line="58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ascii="黑体" w:hAnsi="黑体" w:eastAsia="黑体"/>
          <w:szCs w:val="32"/>
        </w:rPr>
        <w:t>附件</w:t>
      </w:r>
    </w:p>
    <w:p>
      <w:pPr>
        <w:pStyle w:val="18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u w:val="none"/>
          <w:vertAlign w:val="baseline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u w:val="none"/>
          <w:vertAlign w:val="baseline"/>
          <w:lang w:eastAsia="zh-CN"/>
        </w:rPr>
        <w:t>海珠之约·浓浓年味，海珠盛宴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u w:val="none"/>
          <w:vertAlign w:val="baseline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u w:val="none"/>
          <w:vertAlign w:val="baseline"/>
          <w:lang w:eastAsia="zh-CN"/>
        </w:rPr>
        <w:t>电商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u w:val="none"/>
          <w:vertAlign w:val="baseline"/>
        </w:rPr>
        <w:t>消费券活动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方案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81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firstLine="640" w:firstLineChars="200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根据国家、省、市关于促进消费的工作部署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及区委、区政府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关于增加海珠年味做强春节经济的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进一步推进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国际消费中心城市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标杆区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建设，推动经济高质量发展，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营造良好的消费氛围，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拟于202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1月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举办主题为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海珠之约·浓浓年味，海珠盛宴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电商消费券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活动。特制定本活动方案。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lang w:val="en-US" w:eastAsia="zh-CN"/>
        </w:rPr>
        <w:t>一、总体思路</w:t>
      </w:r>
    </w:p>
    <w:p>
      <w:pPr>
        <w:pStyle w:val="181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firstLine="640" w:firstLineChars="200"/>
        <w:rPr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海珠之约·浓浓年味，海珠盛宴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为主题，</w:t>
      </w:r>
      <w:r>
        <w:rPr>
          <w:rFonts w:hint="eastAsia" w:eastAsia="仿宋_GB2312"/>
          <w:sz w:val="32"/>
          <w:szCs w:val="32"/>
          <w:lang w:val="en-US" w:eastAsia="zh-CN"/>
        </w:rPr>
        <w:t>联动我区在元旦、春节开展的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“十百千万行动”大型促消费活动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，推出</w:t>
      </w:r>
      <w:r>
        <w:rPr>
          <w:rFonts w:hint="eastAsia" w:eastAsia="仿宋_GB2312"/>
          <w:sz w:val="32"/>
          <w:szCs w:val="32"/>
          <w:lang w:val="en-US" w:eastAsia="zh-CN"/>
        </w:rPr>
        <w:t>消费券发放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活动，促进</w:t>
      </w:r>
      <w:r>
        <w:rPr>
          <w:rFonts w:hint="eastAsia" w:eastAsia="仿宋_GB2312"/>
          <w:sz w:val="32"/>
          <w:szCs w:val="32"/>
          <w:lang w:val="en-US" w:eastAsia="zh-CN"/>
        </w:rPr>
        <w:t>海珠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经济发展及消费增长。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line="560" w:lineRule="exact"/>
        <w:ind w:left="0" w:leftChars="0" w:firstLine="640" w:firstLineChars="200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color w:val="auto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spacing w:beforeLines="0" w:afterLines="0" w:line="560" w:lineRule="exact"/>
        <w:ind w:left="0" w:leftChars="0" w:right="0" w:rightChars="0"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年1月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至核销完毕。</w:t>
      </w:r>
    </w:p>
    <w:p>
      <w:pPr>
        <w:keepNext w:val="0"/>
        <w:keepLines w:val="0"/>
        <w:pageBreakBefore w:val="0"/>
        <w:widowControl/>
        <w:spacing w:beforeLines="0" w:afterLines="0" w:line="560" w:lineRule="exact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/>
        <w:snapToGrid/>
        <w:spacing w:beforeLines="0" w:afterLines="0" w:line="56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消费券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发放采用政企联动、滚动使用的方式，总额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均为财政资金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消费券类型：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电商平台品牌专场消费券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活动时间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：202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月至核销完毕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活动地点：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电商平台APP/小程序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val="en-US" w:eastAsia="zh-CN"/>
        </w:rPr>
        <w:t>活动费用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：在活动专区申领消费券核销使用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8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left="0" w:leftChars="0" w:firstLine="643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活动内容：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在“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电商平台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APP/小程序”上，面向广州市民，发放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250</w:t>
      </w:r>
      <w:r>
        <w:rPr>
          <w:rFonts w:ascii="Times New Roman" w:hAnsi="Times New Roman" w:eastAsia="仿宋_GB2312"/>
          <w:sz w:val="32"/>
          <w:szCs w:val="32"/>
          <w:highlight w:val="none"/>
          <w:lang w:val="en-US" w:eastAsia="zh-CN"/>
        </w:rPr>
        <w:t>万元政府消费券。市民领取消费券后，在指定的时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间内，在平台上消费。</w:t>
      </w:r>
    </w:p>
    <w:p>
      <w:pPr>
        <w:pStyle w:val="182"/>
        <w:spacing w:beforeLines="0" w:afterLines="0" w:line="560" w:lineRule="exact"/>
        <w:ind w:firstLine="643" w:firstLineChars="200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平台要求：</w:t>
      </w:r>
      <w:r>
        <w:rPr>
          <w:rFonts w:ascii="Times New Roman" w:hAnsi="Times New Roman"/>
          <w:sz w:val="32"/>
          <w:szCs w:val="32"/>
          <w:lang w:val="en-US" w:eastAsia="zh-CN"/>
        </w:rPr>
        <w:t>消费者受众群体多，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具有成熟的政府消费券活动承办经验；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具备数字人民币支付通道能力，并有数字人民币营销活动的举办经验；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具备较强的技术保障和风险管控能力；具备较强的运营服务能力，以确保不出现重大客诉与舆情事故；免费提供发券技术服务和平台使用；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提供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250万配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套资金或优惠券额度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；</w:t>
      </w: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消费券仅限电商自营平台使用，不得用于APP内第三方商户。</w:t>
      </w:r>
    </w:p>
    <w:p>
      <w:pPr>
        <w:pStyle w:val="181"/>
        <w:numPr>
          <w:ilvl w:val="0"/>
          <w:numId w:val="0"/>
        </w:numPr>
        <w:tabs>
          <w:tab w:val="left" w:pos="605"/>
        </w:tabs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以上方案内容仅作为相关企业/机构申报消费券发放资格的参考材料，不作为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最终发券方案依据。</w:t>
      </w:r>
    </w:p>
    <w:p>
      <w:pPr>
        <w:pStyle w:val="182"/>
        <w:rPr>
          <w:rFonts w:hint="default"/>
          <w:lang w:val="en-US" w:eastAsia="zh-CN"/>
        </w:rPr>
      </w:pPr>
    </w:p>
    <w:p>
      <w:pPr>
        <w:pStyle w:val="183"/>
        <w:snapToGrid w:val="0"/>
        <w:spacing w:beforeLines="0" w:afterLines="0" w:line="20" w:lineRule="exact"/>
        <w:ind w:firstLine="0" w:firstLineChars="0"/>
        <w:rPr>
          <w:rFonts w:hint="eastAsia" w:eastAsia="仿宋_GB2312"/>
          <w:color w:val="auto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7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Style w:val="188"/>
                              <w:sz w:val="24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8"/>
                              <w:sz w:val="24"/>
                            </w:rPr>
                            <w:t>—</w:t>
                          </w:r>
                        </w:p>
                        <w:p>
                          <w:pPr>
                            <w:pStyle w:val="1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7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Style w:val="188"/>
                        <w:sz w:val="24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8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8"/>
                        <w:sz w:val="24"/>
                      </w:rPr>
                      <w:t>—</w:t>
                    </w:r>
                  </w:p>
                  <w:p>
                    <w:pPr>
                      <w:pStyle w:val="1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6A13"/>
    <w:rsid w:val="08510831"/>
    <w:rsid w:val="0B9026F5"/>
    <w:rsid w:val="0D094F78"/>
    <w:rsid w:val="11941924"/>
    <w:rsid w:val="144D586C"/>
    <w:rsid w:val="14A974FC"/>
    <w:rsid w:val="151A173C"/>
    <w:rsid w:val="153C71C4"/>
    <w:rsid w:val="1B8B61CE"/>
    <w:rsid w:val="1CEC271C"/>
    <w:rsid w:val="218937E7"/>
    <w:rsid w:val="21B46112"/>
    <w:rsid w:val="25955FE3"/>
    <w:rsid w:val="394B7F8C"/>
    <w:rsid w:val="3FDD125D"/>
    <w:rsid w:val="40711D18"/>
    <w:rsid w:val="43875D58"/>
    <w:rsid w:val="443861AC"/>
    <w:rsid w:val="45E16648"/>
    <w:rsid w:val="4C0C0978"/>
    <w:rsid w:val="572E4F78"/>
    <w:rsid w:val="57ED6DA3"/>
    <w:rsid w:val="5BC1159A"/>
    <w:rsid w:val="5EA626CB"/>
    <w:rsid w:val="5F0E5E20"/>
    <w:rsid w:val="5FB6463D"/>
    <w:rsid w:val="63402B88"/>
    <w:rsid w:val="66126CF0"/>
    <w:rsid w:val="671173E8"/>
    <w:rsid w:val="6CD203A4"/>
    <w:rsid w:val="719143DB"/>
    <w:rsid w:val="731C3575"/>
    <w:rsid w:val="7499095B"/>
    <w:rsid w:val="78DF52A3"/>
    <w:rsid w:val="7AE82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color w:val="auto"/>
      <w:spacing w:val="0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sz w:val="30"/>
      <w:szCs w:val="30"/>
    </w:rPr>
  </w:style>
  <w:style w:type="paragraph" w:styleId="5">
    <w:name w:val="heading 3"/>
    <w:basedOn w:val="1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"/>
    <w:basedOn w:val="1"/>
    <w:next w:val="1"/>
    <w:qFormat/>
    <w:uiPriority w:val="0"/>
    <w:pPr>
      <w:spacing w:before="66" w:beforeLines="0" w:afterLines="0"/>
      <w:ind w:left="109"/>
    </w:pPr>
    <w:rPr>
      <w:rFonts w:hint="eastAsia" w:ascii="宋体" w:hAnsi="宋体" w:eastAsia="宋体"/>
      <w:sz w:val="27"/>
    </w:rPr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sz w:val="24"/>
      <w:lang w:val="en-US" w:eastAsia="zh-CN" w:bidi="ar"/>
    </w:rPr>
  </w:style>
  <w:style w:type="paragraph" w:styleId="27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3">
    <w:name w:val="Heading 1 Char"/>
    <w:basedOn w:val="30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basedOn w:val="30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styleId="43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4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5">
    <w:name w:val="Subtitle Char"/>
    <w:basedOn w:val="30"/>
    <w:link w:val="22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30"/>
    <w:link w:val="19"/>
    <w:qFormat/>
    <w:uiPriority w:val="99"/>
  </w:style>
  <w:style w:type="character" w:customStyle="1" w:styleId="51">
    <w:name w:val="Footer Char"/>
    <w:basedOn w:val="30"/>
    <w:qFormat/>
    <w:uiPriority w:val="99"/>
  </w:style>
  <w:style w:type="character" w:customStyle="1" w:styleId="52">
    <w:name w:val="Caption Char"/>
    <w:qFormat/>
    <w:uiPriority w:val="99"/>
  </w:style>
  <w:style w:type="table" w:customStyle="1" w:styleId="53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0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1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2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3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2Horz"/>
  </w:style>
  <w:style w:type="table" w:customStyle="1" w:styleId="82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Horz"/>
  </w:style>
  <w:style w:type="table" w:customStyle="1" w:styleId="83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Horz"/>
  </w:style>
  <w:style w:type="table" w:customStyle="1" w:styleId="84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2Horz"/>
  </w:style>
  <w:style w:type="table" w:customStyle="1" w:styleId="85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2Vert"/>
    <w:tblStylePr w:type="band1Horz">
      <w:tcPr>
        <w:shd w:val="clear" w:color="auto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2Vert"/>
    <w:tblStylePr w:type="band1Horz">
      <w:tcPr>
        <w:shd w:val="clear" w:color="auto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2Vert"/>
    <w:tblStylePr w:type="band1Horz">
      <w:tcPr>
        <w:shd w:val="clear" w:color="auto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2Vert"/>
    <w:tblStylePr w:type="band1Horz">
      <w:tcPr>
        <w:shd w:val="clear" w:color="auto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2Vert"/>
    <w:tblStylePr w:type="band1Horz">
      <w:tcPr>
        <w:shd w:val="clear" w:color="auto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2Vert"/>
    <w:tblStylePr w:type="band1Horz">
      <w:tcPr>
        <w:shd w:val="clear" w:color="auto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2Vert"/>
    <w:tblStylePr w:type="band1Horz">
      <w:tcPr>
        <w:shd w:val="clear" w:color="auto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tcPr>
        <w:shd w:val="clear" w:color="auto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tcPr>
        <w:shd w:val="clear" w:color="auto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tcPr>
        <w:shd w:val="clear" w:color="auto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tcPr>
        <w:shd w:val="clear" w:color="auto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tcPr>
        <w:shd w:val="clear" w:color="auto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tcPr>
        <w:shd w:val="clear" w:color="auto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</w:style>
  <w:style w:type="table" w:customStyle="1" w:styleId="116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2Horz"/>
  </w:style>
  <w:style w:type="table" w:customStyle="1" w:styleId="117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2Horz"/>
  </w:style>
  <w:style w:type="table" w:customStyle="1" w:styleId="118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2Horz"/>
  </w:style>
  <w:style w:type="table" w:customStyle="1" w:styleId="119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2Horz"/>
  </w:style>
  <w:style w:type="table" w:customStyle="1" w:styleId="120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2Horz"/>
  </w:style>
  <w:style w:type="table" w:customStyle="1" w:styleId="121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2Horz"/>
  </w:style>
  <w:style w:type="table" w:customStyle="1" w:styleId="122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8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Footnote Text Char"/>
    <w:link w:val="23"/>
    <w:qFormat/>
    <w:uiPriority w:val="99"/>
    <w:rPr>
      <w:sz w:val="18"/>
    </w:rPr>
  </w:style>
  <w:style w:type="paragraph" w:customStyle="1" w:styleId="17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paragraph" w:customStyle="1" w:styleId="180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left"/>
    </w:pPr>
    <w:rPr>
      <w:rFonts w:ascii="PMingLiU" w:hAnsi="Times New Roman" w:eastAsia="宋体" w:cs="PMingLiU"/>
      <w:color w:val="000000"/>
      <w:spacing w:val="0"/>
      <w:position w:val="0"/>
      <w:sz w:val="24"/>
      <w:szCs w:val="24"/>
      <w:lang w:val="en-US" w:eastAsia="zh-TW" w:bidi="ar-SA"/>
    </w:rPr>
  </w:style>
  <w:style w:type="paragraph" w:customStyle="1" w:styleId="181">
    <w:name w:val="正文1"/>
    <w:next w:val="18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华文仿宋" w:cs="Times New Roman"/>
      <w:color w:val="auto"/>
      <w:spacing w:val="0"/>
      <w:position w:val="0"/>
      <w:sz w:val="32"/>
      <w:szCs w:val="22"/>
      <w:lang w:val="en-US" w:eastAsia="zh-CN" w:bidi="ar-SA"/>
    </w:rPr>
  </w:style>
  <w:style w:type="paragraph" w:customStyle="1" w:styleId="182">
    <w:name w:val="正文文本1"/>
    <w:basedOn w:val="181"/>
    <w:next w:val="181"/>
    <w:qFormat/>
    <w:uiPriority w:val="0"/>
    <w:pPr>
      <w:widowControl w:val="0"/>
      <w:spacing w:after="0"/>
      <w:jc w:val="both"/>
    </w:pPr>
    <w:rPr>
      <w:rFonts w:ascii="Calibri" w:hAnsi="Calibri" w:eastAsia="仿宋_GB2312"/>
      <w:sz w:val="20"/>
      <w:lang w:val="en-US" w:eastAsia="zh-CN" w:bidi="ar-SA"/>
    </w:rPr>
  </w:style>
  <w:style w:type="paragraph" w:customStyle="1" w:styleId="183">
    <w:name w:val="List Paragraph_61ab78db-b7cb-4f6e-acac-6da28949529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4">
    <w:name w:val="正文11"/>
    <w:next w:val="185"/>
    <w:link w:val="189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185">
    <w:name w:val="正文文本11"/>
    <w:basedOn w:val="184"/>
    <w:next w:val="184"/>
    <w:qFormat/>
    <w:uiPriority w:val="0"/>
    <w:rPr>
      <w:rFonts w:ascii="Calibri" w:hAnsi="Calibri"/>
      <w:sz w:val="20"/>
    </w:rPr>
  </w:style>
  <w:style w:type="paragraph" w:customStyle="1" w:styleId="186">
    <w:name w:val="表格文字"/>
    <w:basedOn w:val="184"/>
    <w:qFormat/>
    <w:uiPriority w:val="0"/>
    <w:pPr>
      <w:jc w:val="left"/>
    </w:pPr>
    <w:rPr>
      <w:bCs/>
      <w:spacing w:val="10"/>
      <w:sz w:val="24"/>
    </w:rPr>
  </w:style>
  <w:style w:type="paragraph" w:customStyle="1" w:styleId="187">
    <w:name w:val="页脚1"/>
    <w:basedOn w:val="1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88">
    <w:name w:val="页码1"/>
    <w:basedOn w:val="189"/>
    <w:link w:val="184"/>
    <w:qFormat/>
    <w:uiPriority w:val="0"/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89">
    <w:name w:val="默认段落字体1"/>
    <w:link w:val="18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liangyongj</dc:creator>
  <cp:lastModifiedBy>谢诗寒</cp:lastModifiedBy>
  <cp:lastPrinted>2023-10-17T09:49:00Z</cp:lastPrinted>
  <dcterms:modified xsi:type="dcterms:W3CDTF">2024-01-09T02:10:33Z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949C051F321B41FF9343F1BC51FDA2D9</vt:lpwstr>
  </property>
</Properties>
</file>