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宋体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eastAsia="宋体"/>
          <w:b/>
          <w:bCs/>
          <w:sz w:val="32"/>
          <w:szCs w:val="32"/>
        </w:rPr>
        <w:t xml:space="preserve"> </w:t>
      </w:r>
    </w:p>
    <w:p>
      <w:pPr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</w:rPr>
        <w:t>评分表</w:t>
      </w:r>
    </w:p>
    <w:tbl>
      <w:tblPr>
        <w:tblStyle w:val="12"/>
        <w:tblW w:w="867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169"/>
        <w:gridCol w:w="781"/>
        <w:gridCol w:w="61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62" w:type="dxa"/>
            <w:vAlign w:val="center"/>
          </w:tcPr>
          <w:p>
            <w:pPr>
              <w:spacing w:before="78" w:line="22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8"/>
                <w:szCs w:val="21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spacing w:before="205" w:line="265" w:lineRule="auto"/>
              <w:ind w:right="169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评估项目</w:t>
            </w:r>
          </w:p>
        </w:tc>
        <w:tc>
          <w:tcPr>
            <w:tcW w:w="781" w:type="dxa"/>
            <w:vAlign w:val="center"/>
          </w:tcPr>
          <w:p>
            <w:pPr>
              <w:spacing w:before="78" w:line="223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0"/>
                <w:szCs w:val="21"/>
              </w:rPr>
              <w:t>分值</w:t>
            </w:r>
          </w:p>
        </w:tc>
        <w:tc>
          <w:tcPr>
            <w:tcW w:w="6166" w:type="dxa"/>
            <w:vAlign w:val="center"/>
          </w:tcPr>
          <w:p>
            <w:pPr>
              <w:spacing w:before="78" w:line="22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评估内容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562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8"/>
                <w:position w:val="10"/>
                <w:szCs w:val="21"/>
              </w:rPr>
              <w:t>报价得分</w:t>
            </w:r>
          </w:p>
        </w:tc>
        <w:tc>
          <w:tcPr>
            <w:tcW w:w="781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9"/>
                <w:szCs w:val="21"/>
              </w:rPr>
              <w:t>25分</w:t>
            </w:r>
          </w:p>
        </w:tc>
        <w:tc>
          <w:tcPr>
            <w:tcW w:w="61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color w:val="auto"/>
              </w:rPr>
              <w:t>投标报价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562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spacing w:before="78"/>
              <w:ind w:right="169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医疗机构执业资格许可</w:t>
            </w:r>
          </w:p>
        </w:tc>
        <w:tc>
          <w:tcPr>
            <w:tcW w:w="781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9"/>
                <w:szCs w:val="21"/>
              </w:rPr>
              <w:t>10分</w:t>
            </w:r>
          </w:p>
        </w:tc>
        <w:tc>
          <w:tcPr>
            <w:tcW w:w="61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二级医院及以上医院得10分，一级医院及其它医疗机构得5分。</w:t>
            </w:r>
          </w:p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注：提供《医疗机构执业资格许可证》、医院等级证明和可开展体检服务证明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562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spacing w:before="78"/>
              <w:ind w:right="169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2"/>
                <w:szCs w:val="21"/>
              </w:rPr>
              <w:t>执业医生、技师资质</w:t>
            </w:r>
          </w:p>
        </w:tc>
        <w:tc>
          <w:tcPr>
            <w:tcW w:w="781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4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color w:val="auto"/>
                <w:spacing w:val="-42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pacing w:val="-4"/>
                <w:szCs w:val="21"/>
              </w:rPr>
              <w:t>分</w:t>
            </w:r>
          </w:p>
        </w:tc>
        <w:tc>
          <w:tcPr>
            <w:tcW w:w="61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1、拟派投入本次体检服务的外科 、内科 、超声科 、放射科 、 妇科的主检医生，每专科具有一个有高级职称（主任医师 、副主任医师）的医生的得2分，每个科室最多得4分，本项最多得16分。</w:t>
            </w:r>
          </w:p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2、检验科每有一个高级职称技师（主任技师、副主任技师）得2分，最多得 4 分。</w:t>
            </w:r>
          </w:p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注：人员不得重复使用 。医生提供医师执业证 、职称证复印件和注册证明，且医师执业地点与供应商名称一致，检验科技师提供职称证。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562" w:type="dxa"/>
            <w:vAlign w:val="center"/>
          </w:tcPr>
          <w:p>
            <w:pPr>
              <w:spacing w:before="78"/>
              <w:ind w:left="296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pacing w:val="-8"/>
                <w:position w:val="1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8"/>
                <w:position w:val="10"/>
                <w:szCs w:val="21"/>
              </w:rPr>
              <w:t>检验实验室标准等级</w:t>
            </w:r>
          </w:p>
        </w:tc>
        <w:tc>
          <w:tcPr>
            <w:tcW w:w="781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pacing w:val="-8"/>
                <w:position w:val="1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8"/>
                <w:position w:val="10"/>
                <w:szCs w:val="21"/>
              </w:rPr>
              <w:t>15分</w:t>
            </w:r>
          </w:p>
        </w:tc>
        <w:tc>
          <w:tcPr>
            <w:tcW w:w="61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自有医学检测实验室，提供2023年度广东省实验室室间质评证书（如常规化学、肿瘤标志物、糖化血红蛋白、内分泌、特殊蛋白、全血细胞、尿液分析、尿沉渣、粪便潜血等），每份证书加1.5分，此项最多15分。</w:t>
            </w:r>
          </w:p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注：提供证书复印件，室间质评证书主体名称需与医疗机构执业许可证名称一致，否则不得分。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62" w:type="dxa"/>
            <w:vAlign w:val="center"/>
          </w:tcPr>
          <w:p>
            <w:pPr>
              <w:spacing w:before="78"/>
              <w:ind w:left="296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spacing w:before="303"/>
              <w:ind w:right="169"/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szCs w:val="21"/>
              </w:rPr>
              <w:t xml:space="preserve"> 履约能力</w:t>
            </w:r>
          </w:p>
        </w:tc>
        <w:tc>
          <w:tcPr>
            <w:tcW w:w="781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Cs w:val="21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szCs w:val="21"/>
              </w:rPr>
              <w:t>5分</w:t>
            </w:r>
          </w:p>
        </w:tc>
        <w:tc>
          <w:tcPr>
            <w:tcW w:w="61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供应商从 2021 年至今具有承接类似团体体检经验的，每有一个类似团检项目经验得1分，最多得5分。</w:t>
            </w:r>
          </w:p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注：提供体检合同复印件或中标通知书。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62" w:type="dxa"/>
            <w:vAlign w:val="center"/>
          </w:tcPr>
          <w:p>
            <w:pPr>
              <w:spacing w:before="78"/>
              <w:ind w:left="296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pacing w:val="-6"/>
                <w:szCs w:val="21"/>
              </w:rPr>
            </w:pPr>
            <w:r>
              <w:rPr>
                <w:color w:val="auto"/>
              </w:rPr>
              <w:t>应急服务方案</w:t>
            </w:r>
          </w:p>
        </w:tc>
        <w:tc>
          <w:tcPr>
            <w:tcW w:w="781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pacing w:val="-6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szCs w:val="21"/>
              </w:rPr>
              <w:t>5分</w:t>
            </w:r>
          </w:p>
        </w:tc>
        <w:tc>
          <w:tcPr>
            <w:tcW w:w="61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color w:val="auto"/>
              </w:rPr>
              <w:t>根据投标人针对本项目突发医疗状况、公共卫生事件、停电消防火灾、排队等候过长等制定相应应急服务方案进行评审，包括能针对上述所列的各类突发事件制定符合本项目采购需求详细、合理可行的应急预案，各类突发事件的应对措施有效全面，人员岗位设置明确、设备安排合理，并能根据项目性质或采购需求提出合理可行的建议等内容，方案翔实完整，完全满足或优于采购需求，得5分；方案基本完整，部分满足采购需求，得3分</w:t>
            </w:r>
            <w:r>
              <w:rPr>
                <w:rFonts w:hint="eastAsia"/>
                <w:color w:val="auto"/>
              </w:rPr>
              <w:t>;</w:t>
            </w:r>
            <w:r>
              <w:rPr>
                <w:rFonts w:hint="eastAsia" w:asciiTheme="minorEastAsia" w:hAnsiTheme="minorEastAsia" w:cstheme="minorEastAsia"/>
                <w:color w:val="auto"/>
                <w:spacing w:val="9"/>
                <w:szCs w:val="21"/>
              </w:rPr>
              <w:t>不满足采购需求或没有提供应急服务方案不得分。</w:t>
            </w:r>
            <w:r>
              <w:rPr>
                <w:color w:val="auto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562" w:type="dxa"/>
            <w:vAlign w:val="center"/>
          </w:tcPr>
          <w:p>
            <w:pPr>
              <w:spacing w:before="78" w:line="180" w:lineRule="auto"/>
              <w:ind w:left="296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spacing w:line="249" w:lineRule="auto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  <w:p>
            <w:pPr>
              <w:spacing w:line="249" w:lineRule="auto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服务方案</w:t>
            </w:r>
          </w:p>
          <w:p>
            <w:pPr>
              <w:spacing w:before="78" w:line="241" w:lineRule="auto"/>
              <w:ind w:right="169"/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before="78" w:line="224" w:lineRule="auto"/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Cs w:val="21"/>
              </w:rPr>
              <w:t>20</w:t>
            </w:r>
          </w:p>
        </w:tc>
        <w:tc>
          <w:tcPr>
            <w:tcW w:w="61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9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根</w:t>
            </w:r>
            <w:r>
              <w:rPr>
                <w:rFonts w:hint="eastAsia" w:asciiTheme="minorEastAsia" w:hAnsiTheme="minorEastAsia" w:cstheme="minorEastAsia"/>
                <w:color w:val="auto"/>
                <w:spacing w:val="9"/>
                <w:szCs w:val="21"/>
              </w:rPr>
              <w:t>据供应商对本项目提供的服务方案，按服务方案以下五方面的内容的科学性、合理性、可操作性和保障顺利实施进行评审，优于采购需求得20分，满足采购需求的，得15分，基本满足采购需求的，得8分，不满足采购需求或没有提供服务方案不得分。</w:t>
            </w:r>
          </w:p>
          <w:p>
            <w:pPr>
              <w:spacing w:before="114"/>
              <w:ind w:right="103"/>
              <w:rPr>
                <w:rFonts w:asciiTheme="minorEastAsia" w:hAnsiTheme="minorEastAsia" w:cs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9"/>
                <w:szCs w:val="21"/>
              </w:rPr>
              <w:t>服务方案评审内容：1.体检实施前的注意事项；2.专场体检安排与体检环境；3.体检现场急救及其他意外防范措施；4.检出重大阳性指标处理流程与医疗指导；5.检后报告解读服务。</w:t>
            </w:r>
          </w:p>
        </w:tc>
      </w:tr>
    </w:tbl>
    <w:p>
      <w:pPr>
        <w:rPr>
          <w:rFonts w:eastAsia="宋体"/>
          <w:b/>
          <w:bCs/>
          <w:color w:val="auto"/>
          <w:sz w:val="32"/>
          <w:szCs w:val="32"/>
        </w:rPr>
      </w:pPr>
    </w:p>
    <w:p>
      <w:pPr>
        <w:pStyle w:val="5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YTMzMzA4YTQyMzQxNjJkZmE5MjIyYjE4MWUwNDcifQ=="/>
    <w:docVar w:name="KSO_WPS_MARK_KEY" w:val="7a7e19ea-3a29-4e9a-9628-684741055c4b"/>
  </w:docVars>
  <w:rsids>
    <w:rsidRoot w:val="18EC2C25"/>
    <w:rsid w:val="001D7D27"/>
    <w:rsid w:val="00225378"/>
    <w:rsid w:val="003F53FD"/>
    <w:rsid w:val="006E1148"/>
    <w:rsid w:val="00764944"/>
    <w:rsid w:val="007E7946"/>
    <w:rsid w:val="00825695"/>
    <w:rsid w:val="00907AC5"/>
    <w:rsid w:val="00940F37"/>
    <w:rsid w:val="00B13A27"/>
    <w:rsid w:val="00B724F9"/>
    <w:rsid w:val="00C151C8"/>
    <w:rsid w:val="00DA6A1F"/>
    <w:rsid w:val="00F2736F"/>
    <w:rsid w:val="02B96008"/>
    <w:rsid w:val="031F4D7B"/>
    <w:rsid w:val="03FB03BA"/>
    <w:rsid w:val="051B76CD"/>
    <w:rsid w:val="05A84572"/>
    <w:rsid w:val="076337ED"/>
    <w:rsid w:val="07660241"/>
    <w:rsid w:val="07794418"/>
    <w:rsid w:val="094E2B2C"/>
    <w:rsid w:val="09B35A13"/>
    <w:rsid w:val="0D4C612B"/>
    <w:rsid w:val="0DF77E44"/>
    <w:rsid w:val="0E1E1875"/>
    <w:rsid w:val="0EB977F0"/>
    <w:rsid w:val="120C2EE0"/>
    <w:rsid w:val="124608DC"/>
    <w:rsid w:val="13901E58"/>
    <w:rsid w:val="141A1F4C"/>
    <w:rsid w:val="14B20F69"/>
    <w:rsid w:val="14C8795A"/>
    <w:rsid w:val="161E12A7"/>
    <w:rsid w:val="17C805EE"/>
    <w:rsid w:val="17EB5659"/>
    <w:rsid w:val="18EC2C25"/>
    <w:rsid w:val="1A5B7F6B"/>
    <w:rsid w:val="1C512E16"/>
    <w:rsid w:val="1CE03686"/>
    <w:rsid w:val="1CF71C0F"/>
    <w:rsid w:val="1D61177E"/>
    <w:rsid w:val="1E85324A"/>
    <w:rsid w:val="1E991657"/>
    <w:rsid w:val="21AB6BFC"/>
    <w:rsid w:val="22D72152"/>
    <w:rsid w:val="24106C02"/>
    <w:rsid w:val="24DE1906"/>
    <w:rsid w:val="25096983"/>
    <w:rsid w:val="258B03EA"/>
    <w:rsid w:val="25A71CF8"/>
    <w:rsid w:val="25B963BE"/>
    <w:rsid w:val="263E08AF"/>
    <w:rsid w:val="26800FF5"/>
    <w:rsid w:val="26F17FAC"/>
    <w:rsid w:val="275027EC"/>
    <w:rsid w:val="29583A35"/>
    <w:rsid w:val="29D15E68"/>
    <w:rsid w:val="2C031008"/>
    <w:rsid w:val="2D6F75A0"/>
    <w:rsid w:val="2D75316F"/>
    <w:rsid w:val="2E1E1336"/>
    <w:rsid w:val="2E6D7F83"/>
    <w:rsid w:val="2FC3759F"/>
    <w:rsid w:val="300C557A"/>
    <w:rsid w:val="30DE2AB3"/>
    <w:rsid w:val="310D3357"/>
    <w:rsid w:val="33566EBE"/>
    <w:rsid w:val="341361D1"/>
    <w:rsid w:val="367D0F7F"/>
    <w:rsid w:val="373C0874"/>
    <w:rsid w:val="37A12A4B"/>
    <w:rsid w:val="37E64902"/>
    <w:rsid w:val="38C74734"/>
    <w:rsid w:val="39557F91"/>
    <w:rsid w:val="3A275BAB"/>
    <w:rsid w:val="3AB260EF"/>
    <w:rsid w:val="3ACF167E"/>
    <w:rsid w:val="3C892EDA"/>
    <w:rsid w:val="3DA768E2"/>
    <w:rsid w:val="3F8C2460"/>
    <w:rsid w:val="40AD2461"/>
    <w:rsid w:val="40F67C83"/>
    <w:rsid w:val="42BC67E0"/>
    <w:rsid w:val="43D146B8"/>
    <w:rsid w:val="43FE2FD4"/>
    <w:rsid w:val="44E37D86"/>
    <w:rsid w:val="44F543D6"/>
    <w:rsid w:val="45BE6EBE"/>
    <w:rsid w:val="4625637F"/>
    <w:rsid w:val="4662583A"/>
    <w:rsid w:val="46F54B62"/>
    <w:rsid w:val="47262F6D"/>
    <w:rsid w:val="47C84024"/>
    <w:rsid w:val="4A8F7895"/>
    <w:rsid w:val="4A907B14"/>
    <w:rsid w:val="4B425E9C"/>
    <w:rsid w:val="4B5B2430"/>
    <w:rsid w:val="4C404189"/>
    <w:rsid w:val="4D597AF4"/>
    <w:rsid w:val="4D862070"/>
    <w:rsid w:val="4E9D1D67"/>
    <w:rsid w:val="500F0207"/>
    <w:rsid w:val="50B74C36"/>
    <w:rsid w:val="511C3117"/>
    <w:rsid w:val="52AF4864"/>
    <w:rsid w:val="540B1521"/>
    <w:rsid w:val="563D6702"/>
    <w:rsid w:val="56DC53F6"/>
    <w:rsid w:val="573A0882"/>
    <w:rsid w:val="5799011D"/>
    <w:rsid w:val="5A961BCC"/>
    <w:rsid w:val="5B5E1B63"/>
    <w:rsid w:val="5C9D2F32"/>
    <w:rsid w:val="5CFC234E"/>
    <w:rsid w:val="5D462136"/>
    <w:rsid w:val="5DB669A1"/>
    <w:rsid w:val="5E25770E"/>
    <w:rsid w:val="5EC7073A"/>
    <w:rsid w:val="62151563"/>
    <w:rsid w:val="62261C95"/>
    <w:rsid w:val="6410048D"/>
    <w:rsid w:val="6672542F"/>
    <w:rsid w:val="678C6E29"/>
    <w:rsid w:val="685812B8"/>
    <w:rsid w:val="69E14DA6"/>
    <w:rsid w:val="6AA45DD3"/>
    <w:rsid w:val="6B855C05"/>
    <w:rsid w:val="6E2D119A"/>
    <w:rsid w:val="6F815400"/>
    <w:rsid w:val="70DA3470"/>
    <w:rsid w:val="71297032"/>
    <w:rsid w:val="72676064"/>
    <w:rsid w:val="72716850"/>
    <w:rsid w:val="740C6EC3"/>
    <w:rsid w:val="759E6D50"/>
    <w:rsid w:val="75BD36CD"/>
    <w:rsid w:val="77274014"/>
    <w:rsid w:val="773A7BF3"/>
    <w:rsid w:val="77DF8A28"/>
    <w:rsid w:val="7A44178C"/>
    <w:rsid w:val="7BE81FC4"/>
    <w:rsid w:val="7C2B0102"/>
    <w:rsid w:val="7CA921AD"/>
    <w:rsid w:val="7CDF44A7"/>
    <w:rsid w:val="D8E55242"/>
    <w:rsid w:val="E3FEA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40" w:after="120" w:line="360" w:lineRule="auto"/>
      <w:ind w:left="454" w:hanging="454"/>
      <w:jc w:val="center"/>
      <w:outlineLvl w:val="1"/>
    </w:pPr>
    <w:rPr>
      <w:rFonts w:ascii="Arial" w:hAnsi="Calibri"/>
      <w:b/>
      <w:bCs/>
      <w:color w:val="000000"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21332</Words>
  <Characters>22065</Characters>
  <Lines>171</Lines>
  <Paragraphs>48</Paragraphs>
  <TotalTime>2</TotalTime>
  <ScaleCrop>false</ScaleCrop>
  <LinksUpToDate>false</LinksUpToDate>
  <CharactersWithSpaces>22982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2022-12-02T02:41:00Z</dcterms:created>
  <dc:creator>艺</dc:creator>
  <cp:lastModifiedBy>XiaoMin</cp:lastModifiedBy>
  <cp:lastPrinted>2024-03-04T06:37:00Z</cp:lastPrinted>
  <dcterms:modified xsi:type="dcterms:W3CDTF">2024-03-04T09:34:02Z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D851297DBB5C41609E3E6028DDA1D0F1</vt:lpwstr>
  </property>
</Properties>
</file>