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left"/>
        <w:textAlignment w:val="center"/>
        <w:rPr>
          <w:rFonts w:hint="eastAsia" w:ascii="方正小标宋简体" w:hAnsi="Times New Roman" w:eastAsia="方正小标宋简体" w:cs="方正小标宋简体"/>
          <w:snapToGrid w:val="0"/>
          <w:color w:val="000000"/>
          <w:sz w:val="44"/>
          <w:szCs w:val="44"/>
        </w:rPr>
      </w:pPr>
      <w:r>
        <w:rPr>
          <w:rFonts w:hint="eastAsia" w:ascii="黑体" w:hAnsi="黑体" w:eastAsia="黑体" w:cs="黑体"/>
          <w:b/>
          <w:bCs/>
          <w:snapToGrid w:val="0"/>
          <w:color w:val="000000"/>
          <w:sz w:val="32"/>
          <w:szCs w:val="32"/>
          <w:lang w:val="en-US" w:eastAsia="zh-CN"/>
        </w:rPr>
        <w:t>附件1</w:t>
      </w:r>
    </w:p>
    <w:p>
      <w:pPr>
        <w:widowControl/>
        <w:jc w:val="center"/>
        <w:textAlignment w:val="center"/>
        <w:rPr>
          <w:rFonts w:ascii="方正小标宋简体" w:hAnsi="Times New Roman" w:eastAsia="方正小标宋简体" w:cs="Times New Roman"/>
          <w:snapToGrid w:val="0"/>
          <w:color w:val="000000"/>
          <w:sz w:val="44"/>
          <w:szCs w:val="44"/>
        </w:rPr>
      </w:pPr>
      <w:r>
        <w:rPr>
          <w:rFonts w:hint="eastAsia" w:ascii="方正小标宋简体" w:hAnsi="Times New Roman" w:eastAsia="方正小标宋简体" w:cs="方正小标宋简体"/>
          <w:snapToGrid w:val="0"/>
          <w:color w:val="000000"/>
          <w:sz w:val="44"/>
          <w:szCs w:val="44"/>
        </w:rPr>
        <w:t>本次检验项目</w:t>
      </w:r>
    </w:p>
    <w:tbl>
      <w:tblPr>
        <w:tblStyle w:val="9"/>
        <w:tblW w:w="138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56"/>
        <w:gridCol w:w="1073"/>
        <w:gridCol w:w="1109"/>
        <w:gridCol w:w="1210"/>
        <w:gridCol w:w="1181"/>
        <w:gridCol w:w="4167"/>
        <w:gridCol w:w="4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Header/>
        </w:trPr>
        <w:tc>
          <w:tcPr>
            <w:tcW w:w="556" w:type="dxa"/>
            <w:vMerge w:val="restart"/>
            <w:vAlign w:val="center"/>
          </w:tcPr>
          <w:p>
            <w:pPr>
              <w:widowControl/>
              <w:snapToGrid w:val="0"/>
              <w:spacing w:line="360" w:lineRule="exact"/>
              <w:jc w:val="center"/>
              <w:textAlignment w:val="center"/>
              <w:rPr>
                <w:rFonts w:ascii="宋体" w:cs="宋体"/>
                <w:color w:val="000000"/>
                <w:sz w:val="18"/>
                <w:szCs w:val="18"/>
              </w:rPr>
            </w:pPr>
            <w:r>
              <w:rPr>
                <w:rFonts w:hint="eastAsia" w:ascii="宋体" w:hAnsi="宋体" w:cs="宋体"/>
                <w:b/>
                <w:bCs/>
                <w:color w:val="000000"/>
                <w:kern w:val="0"/>
                <w:sz w:val="18"/>
                <w:szCs w:val="18"/>
              </w:rPr>
              <w:t>序号</w:t>
            </w:r>
          </w:p>
        </w:tc>
        <w:tc>
          <w:tcPr>
            <w:tcW w:w="1073" w:type="dxa"/>
            <w:vAlign w:val="center"/>
          </w:tcPr>
          <w:p>
            <w:pPr>
              <w:snapToGrid w:val="0"/>
              <w:spacing w:line="360" w:lineRule="exact"/>
              <w:jc w:val="center"/>
              <w:textAlignment w:val="center"/>
              <w:rPr>
                <w:rFonts w:ascii="宋体" w:cs="宋体"/>
                <w:b/>
                <w:bCs/>
                <w:color w:val="000000"/>
                <w:sz w:val="18"/>
                <w:szCs w:val="18"/>
              </w:rPr>
            </w:pPr>
            <w:r>
              <w:rPr>
                <w:rFonts w:hint="eastAsia" w:ascii="宋体" w:hAnsi="宋体" w:cs="宋体"/>
                <w:b/>
                <w:bCs/>
                <w:color w:val="000000"/>
                <w:kern w:val="0"/>
                <w:sz w:val="18"/>
                <w:szCs w:val="18"/>
              </w:rPr>
              <w:t>食品大类</w:t>
            </w:r>
          </w:p>
        </w:tc>
        <w:tc>
          <w:tcPr>
            <w:tcW w:w="1109" w:type="dxa"/>
            <w:vAlign w:val="center"/>
          </w:tcPr>
          <w:p>
            <w:pPr>
              <w:widowControl/>
              <w:snapToGrid w:val="0"/>
              <w:spacing w:line="360" w:lineRule="exact"/>
              <w:jc w:val="center"/>
              <w:textAlignment w:val="center"/>
              <w:rPr>
                <w:rFonts w:ascii="宋体" w:cs="宋体"/>
                <w:b/>
                <w:bCs/>
                <w:color w:val="000000"/>
                <w:sz w:val="18"/>
                <w:szCs w:val="18"/>
              </w:rPr>
            </w:pPr>
            <w:r>
              <w:rPr>
                <w:rFonts w:hint="eastAsia" w:ascii="宋体" w:hAnsi="宋体" w:cs="宋体"/>
                <w:b/>
                <w:bCs/>
                <w:color w:val="000000"/>
                <w:kern w:val="0"/>
                <w:sz w:val="18"/>
                <w:szCs w:val="18"/>
              </w:rPr>
              <w:t>食品亚类</w:t>
            </w:r>
          </w:p>
        </w:tc>
        <w:tc>
          <w:tcPr>
            <w:tcW w:w="1210" w:type="dxa"/>
            <w:vAlign w:val="center"/>
          </w:tcPr>
          <w:p>
            <w:pPr>
              <w:widowControl/>
              <w:snapToGrid w:val="0"/>
              <w:spacing w:line="360" w:lineRule="exact"/>
              <w:jc w:val="center"/>
              <w:textAlignment w:val="center"/>
              <w:rPr>
                <w:rFonts w:ascii="宋体" w:cs="宋体"/>
                <w:b/>
                <w:bCs/>
                <w:color w:val="000000"/>
                <w:sz w:val="18"/>
                <w:szCs w:val="18"/>
              </w:rPr>
            </w:pPr>
            <w:r>
              <w:rPr>
                <w:rFonts w:hint="eastAsia" w:ascii="宋体" w:hAnsi="宋体" w:cs="宋体"/>
                <w:b/>
                <w:bCs/>
                <w:color w:val="000000"/>
                <w:kern w:val="0"/>
                <w:sz w:val="18"/>
                <w:szCs w:val="18"/>
              </w:rPr>
              <w:t>食品品种</w:t>
            </w:r>
          </w:p>
        </w:tc>
        <w:tc>
          <w:tcPr>
            <w:tcW w:w="1181" w:type="dxa"/>
            <w:vAlign w:val="center"/>
          </w:tcPr>
          <w:p>
            <w:pPr>
              <w:widowControl/>
              <w:snapToGrid w:val="0"/>
              <w:spacing w:line="360" w:lineRule="exact"/>
              <w:jc w:val="center"/>
              <w:textAlignment w:val="center"/>
              <w:rPr>
                <w:rFonts w:ascii="宋体" w:cs="宋体"/>
                <w:b/>
                <w:bCs/>
                <w:color w:val="000000"/>
                <w:sz w:val="18"/>
                <w:szCs w:val="18"/>
              </w:rPr>
            </w:pPr>
            <w:r>
              <w:rPr>
                <w:rFonts w:hint="eastAsia" w:ascii="宋体" w:hAnsi="宋体" w:cs="宋体"/>
                <w:b/>
                <w:bCs/>
                <w:color w:val="000000"/>
                <w:kern w:val="0"/>
                <w:sz w:val="18"/>
                <w:szCs w:val="18"/>
              </w:rPr>
              <w:t>食品细类</w:t>
            </w:r>
          </w:p>
        </w:tc>
        <w:tc>
          <w:tcPr>
            <w:tcW w:w="4167" w:type="dxa"/>
            <w:vMerge w:val="restart"/>
            <w:vAlign w:val="center"/>
          </w:tcPr>
          <w:p>
            <w:pPr>
              <w:widowControl/>
              <w:snapToGrid w:val="0"/>
              <w:spacing w:line="360" w:lineRule="exact"/>
              <w:jc w:val="center"/>
              <w:textAlignment w:val="center"/>
              <w:rPr>
                <w:rFonts w:ascii="宋体" w:cs="宋体"/>
                <w:b/>
                <w:bCs/>
                <w:color w:val="000000"/>
                <w:sz w:val="18"/>
                <w:szCs w:val="18"/>
              </w:rPr>
            </w:pPr>
            <w:r>
              <w:rPr>
                <w:rFonts w:hint="eastAsia" w:ascii="宋体" w:hAnsi="宋体" w:cs="宋体"/>
                <w:b/>
                <w:bCs/>
                <w:color w:val="000000"/>
                <w:kern w:val="0"/>
                <w:sz w:val="18"/>
                <w:szCs w:val="18"/>
              </w:rPr>
              <w:t>抽检依据</w:t>
            </w:r>
          </w:p>
        </w:tc>
        <w:tc>
          <w:tcPr>
            <w:tcW w:w="4510" w:type="dxa"/>
            <w:vMerge w:val="restart"/>
            <w:vAlign w:val="center"/>
          </w:tcPr>
          <w:p>
            <w:pPr>
              <w:widowControl/>
              <w:snapToGrid w:val="0"/>
              <w:spacing w:line="360" w:lineRule="exact"/>
              <w:jc w:val="center"/>
              <w:textAlignment w:val="center"/>
              <w:rPr>
                <w:rFonts w:ascii="宋体" w:cs="宋体"/>
                <w:b/>
                <w:bCs/>
                <w:color w:val="000000"/>
                <w:sz w:val="18"/>
                <w:szCs w:val="18"/>
              </w:rPr>
            </w:pPr>
            <w:r>
              <w:rPr>
                <w:rFonts w:hint="eastAsia" w:ascii="宋体" w:hAnsi="宋体" w:cs="宋体"/>
                <w:b/>
                <w:bCs/>
                <w:color w:val="000000"/>
                <w:kern w:val="0"/>
                <w:sz w:val="18"/>
                <w:szCs w:val="18"/>
              </w:rPr>
              <w:t>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blHeader/>
        </w:trPr>
        <w:tc>
          <w:tcPr>
            <w:tcW w:w="556" w:type="dxa"/>
            <w:vMerge w:val="continue"/>
            <w:vAlign w:val="center"/>
          </w:tcPr>
          <w:p>
            <w:pPr>
              <w:widowControl/>
              <w:snapToGrid w:val="0"/>
              <w:spacing w:line="360" w:lineRule="exact"/>
              <w:jc w:val="center"/>
              <w:rPr>
                <w:rFonts w:ascii="宋体" w:cs="宋体"/>
                <w:color w:val="000000"/>
                <w:sz w:val="18"/>
                <w:szCs w:val="18"/>
              </w:rPr>
            </w:pPr>
          </w:p>
        </w:tc>
        <w:tc>
          <w:tcPr>
            <w:tcW w:w="1073" w:type="dxa"/>
            <w:vAlign w:val="center"/>
          </w:tcPr>
          <w:p>
            <w:pPr>
              <w:snapToGrid w:val="0"/>
              <w:spacing w:line="360" w:lineRule="exact"/>
              <w:jc w:val="center"/>
              <w:textAlignment w:val="center"/>
              <w:rPr>
                <w:rFonts w:ascii="宋体" w:cs="宋体"/>
                <w:b/>
                <w:bCs/>
                <w:color w:val="000000"/>
                <w:sz w:val="18"/>
                <w:szCs w:val="18"/>
              </w:rPr>
            </w:pPr>
            <w:r>
              <w:rPr>
                <w:rFonts w:hint="eastAsia" w:ascii="宋体" w:hAnsi="宋体" w:cs="宋体"/>
                <w:b/>
                <w:bCs/>
                <w:color w:val="000000"/>
                <w:kern w:val="0"/>
                <w:sz w:val="18"/>
                <w:szCs w:val="18"/>
              </w:rPr>
              <w:t>（一级）</w:t>
            </w:r>
          </w:p>
        </w:tc>
        <w:tc>
          <w:tcPr>
            <w:tcW w:w="1109" w:type="dxa"/>
            <w:vAlign w:val="center"/>
          </w:tcPr>
          <w:p>
            <w:pPr>
              <w:widowControl/>
              <w:snapToGrid w:val="0"/>
              <w:spacing w:line="360" w:lineRule="exact"/>
              <w:jc w:val="center"/>
              <w:textAlignment w:val="center"/>
              <w:rPr>
                <w:rFonts w:ascii="宋体" w:cs="宋体"/>
                <w:b/>
                <w:bCs/>
                <w:color w:val="000000"/>
                <w:sz w:val="18"/>
                <w:szCs w:val="18"/>
              </w:rPr>
            </w:pPr>
            <w:r>
              <w:rPr>
                <w:rFonts w:hint="eastAsia" w:ascii="宋体" w:hAnsi="宋体" w:cs="宋体"/>
                <w:b/>
                <w:bCs/>
                <w:color w:val="000000"/>
                <w:kern w:val="0"/>
                <w:sz w:val="18"/>
                <w:szCs w:val="18"/>
              </w:rPr>
              <w:t>（二级）</w:t>
            </w:r>
          </w:p>
        </w:tc>
        <w:tc>
          <w:tcPr>
            <w:tcW w:w="1210" w:type="dxa"/>
            <w:vAlign w:val="center"/>
          </w:tcPr>
          <w:p>
            <w:pPr>
              <w:widowControl/>
              <w:snapToGrid w:val="0"/>
              <w:spacing w:line="360" w:lineRule="exact"/>
              <w:jc w:val="center"/>
              <w:textAlignment w:val="center"/>
              <w:rPr>
                <w:rFonts w:ascii="宋体" w:cs="宋体"/>
                <w:b/>
                <w:bCs/>
                <w:color w:val="000000"/>
                <w:sz w:val="18"/>
                <w:szCs w:val="18"/>
              </w:rPr>
            </w:pPr>
            <w:r>
              <w:rPr>
                <w:rFonts w:hint="eastAsia" w:ascii="宋体" w:hAnsi="宋体" w:cs="宋体"/>
                <w:b/>
                <w:bCs/>
                <w:color w:val="000000"/>
                <w:kern w:val="0"/>
                <w:sz w:val="18"/>
                <w:szCs w:val="18"/>
              </w:rPr>
              <w:t>（三级）</w:t>
            </w:r>
          </w:p>
        </w:tc>
        <w:tc>
          <w:tcPr>
            <w:tcW w:w="1181" w:type="dxa"/>
            <w:vAlign w:val="center"/>
          </w:tcPr>
          <w:p>
            <w:pPr>
              <w:widowControl/>
              <w:snapToGrid w:val="0"/>
              <w:spacing w:line="360" w:lineRule="exact"/>
              <w:jc w:val="center"/>
              <w:textAlignment w:val="center"/>
              <w:rPr>
                <w:rFonts w:ascii="宋体" w:cs="宋体"/>
                <w:b/>
                <w:bCs/>
                <w:color w:val="000000"/>
                <w:sz w:val="18"/>
                <w:szCs w:val="18"/>
              </w:rPr>
            </w:pPr>
            <w:r>
              <w:rPr>
                <w:rFonts w:hint="eastAsia" w:ascii="宋体" w:hAnsi="宋体" w:cs="宋体"/>
                <w:b/>
                <w:bCs/>
                <w:color w:val="000000"/>
                <w:kern w:val="0"/>
                <w:sz w:val="18"/>
                <w:szCs w:val="18"/>
              </w:rPr>
              <w:t>（四级）</w:t>
            </w:r>
          </w:p>
        </w:tc>
        <w:tc>
          <w:tcPr>
            <w:tcW w:w="4167" w:type="dxa"/>
            <w:vMerge w:val="continue"/>
            <w:vAlign w:val="center"/>
          </w:tcPr>
          <w:p>
            <w:pPr>
              <w:widowControl/>
              <w:snapToGrid w:val="0"/>
              <w:spacing w:line="360" w:lineRule="exact"/>
              <w:jc w:val="left"/>
              <w:rPr>
                <w:rFonts w:ascii="宋体" w:cs="宋体"/>
                <w:b/>
                <w:bCs/>
                <w:color w:val="000000"/>
                <w:sz w:val="18"/>
                <w:szCs w:val="18"/>
              </w:rPr>
            </w:pPr>
          </w:p>
        </w:tc>
        <w:tc>
          <w:tcPr>
            <w:tcW w:w="4510" w:type="dxa"/>
            <w:vMerge w:val="continue"/>
            <w:vAlign w:val="center"/>
          </w:tcPr>
          <w:p>
            <w:pPr>
              <w:widowControl/>
              <w:snapToGrid w:val="0"/>
              <w:spacing w:line="360" w:lineRule="exact"/>
              <w:jc w:val="center"/>
              <w:rPr>
                <w:rFonts w:ascii="宋体" w:cs="宋体"/>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6" w:type="dxa"/>
            <w:vMerge w:val="restart"/>
            <w:vAlign w:val="center"/>
          </w:tcPr>
          <w:p>
            <w:pPr>
              <w:widowControl/>
              <w:snapToGrid w:val="0"/>
              <w:spacing w:line="360" w:lineRule="exact"/>
              <w:jc w:val="center"/>
              <w:rPr>
                <w:rFonts w:hint="default" w:ascii="宋体" w:hAnsi="宋体" w:cs="宋体"/>
                <w:sz w:val="18"/>
                <w:szCs w:val="18"/>
                <w:lang w:val="en-US" w:eastAsia="zh-CN"/>
              </w:rPr>
            </w:pPr>
            <w:r>
              <w:rPr>
                <w:rFonts w:hint="eastAsia" w:ascii="宋体" w:hAnsi="宋体" w:cs="宋体"/>
                <w:sz w:val="18"/>
                <w:szCs w:val="18"/>
                <w:lang w:val="en-US" w:eastAsia="zh-CN"/>
              </w:rPr>
              <w:t>1</w:t>
            </w:r>
          </w:p>
        </w:tc>
        <w:tc>
          <w:tcPr>
            <w:tcW w:w="107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食用农产品</w:t>
            </w:r>
          </w:p>
        </w:tc>
        <w:tc>
          <w:tcPr>
            <w:tcW w:w="110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水产品</w:t>
            </w:r>
          </w:p>
        </w:tc>
        <w:tc>
          <w:tcPr>
            <w:tcW w:w="12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淡水产品</w:t>
            </w:r>
          </w:p>
        </w:tc>
        <w:tc>
          <w:tcPr>
            <w:tcW w:w="118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淡水鱼</w:t>
            </w:r>
          </w:p>
        </w:tc>
        <w:tc>
          <w:tcPr>
            <w:tcW w:w="4167" w:type="dxa"/>
            <w:vAlign w:val="center"/>
          </w:tcPr>
          <w:p>
            <w:pPr>
              <w:keepNext w:val="0"/>
              <w:keepLines w:val="0"/>
              <w:widowControl/>
              <w:suppressLineNumbers w:val="0"/>
              <w:jc w:val="left"/>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GB 31650-2019《食品安全国家标准 食品中兽药最大残留限量》</w:t>
            </w:r>
          </w:p>
          <w:p>
            <w:pPr>
              <w:keepNext w:val="0"/>
              <w:keepLines w:val="0"/>
              <w:widowControl/>
              <w:suppressLineNumbers w:val="0"/>
              <w:jc w:val="left"/>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农业农村部公告 第250号《食品动物中禁止使用的药品及其他化合物清单》</w:t>
            </w:r>
          </w:p>
        </w:tc>
        <w:tc>
          <w:tcPr>
            <w:tcW w:w="45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恩诺沙星、呋喃唑酮代谢物、磺胺类(总量)、甲硝唑、孔雀石绿、氯霉素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6" w:type="dxa"/>
            <w:vMerge w:val="continue"/>
            <w:vAlign w:val="center"/>
          </w:tcPr>
          <w:p>
            <w:pPr>
              <w:widowControl/>
              <w:snapToGrid w:val="0"/>
              <w:spacing w:line="360" w:lineRule="exact"/>
              <w:jc w:val="center"/>
              <w:rPr>
                <w:rFonts w:hint="eastAsia" w:ascii="宋体" w:hAnsi="宋体" w:cs="宋体"/>
                <w:sz w:val="18"/>
                <w:szCs w:val="18"/>
                <w:lang w:val="en-US" w:eastAsia="zh-CN"/>
              </w:rPr>
            </w:pPr>
          </w:p>
        </w:tc>
        <w:tc>
          <w:tcPr>
            <w:tcW w:w="1073" w:type="dxa"/>
            <w:vMerge w:val="continue"/>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p>
        </w:tc>
        <w:tc>
          <w:tcPr>
            <w:tcW w:w="1109" w:type="dxa"/>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畜禽肉及副产品</w:t>
            </w:r>
          </w:p>
        </w:tc>
        <w:tc>
          <w:tcPr>
            <w:tcW w:w="1210" w:type="dxa"/>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畜肉</w:t>
            </w:r>
          </w:p>
        </w:tc>
        <w:tc>
          <w:tcPr>
            <w:tcW w:w="1181" w:type="dxa"/>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猪肉</w:t>
            </w:r>
          </w:p>
        </w:tc>
        <w:tc>
          <w:tcPr>
            <w:tcW w:w="4167" w:type="dxa"/>
            <w:vAlign w:val="center"/>
          </w:tcPr>
          <w:p>
            <w:pPr>
              <w:keepNext w:val="0"/>
              <w:keepLines w:val="0"/>
              <w:widowControl/>
              <w:suppressLineNumbers w:val="0"/>
              <w:jc w:val="left"/>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GB 31650-2019《食品安全国家标准 食品中兽药最大残留限量》</w:t>
            </w:r>
          </w:p>
          <w:p>
            <w:pPr>
              <w:keepNext w:val="0"/>
              <w:keepLines w:val="0"/>
              <w:widowControl/>
              <w:suppressLineNumbers w:val="0"/>
              <w:jc w:val="left"/>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农业农村部公告 第250号《食品动物中禁止使用的药品及其他化合物清单》</w:t>
            </w:r>
          </w:p>
        </w:tc>
        <w:tc>
          <w:tcPr>
            <w:tcW w:w="45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恩诺沙星、磺胺类(总量)、甲硝唑、氯霉素、五氯酚酸钠(以五氯酚计)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6" w:type="dxa"/>
            <w:vMerge w:val="continue"/>
            <w:vAlign w:val="center"/>
          </w:tcPr>
          <w:p>
            <w:pPr>
              <w:widowControl/>
              <w:snapToGrid w:val="0"/>
              <w:spacing w:line="360" w:lineRule="exact"/>
              <w:jc w:val="center"/>
              <w:rPr>
                <w:rFonts w:hint="eastAsia" w:ascii="宋体" w:hAnsi="宋体" w:cs="宋体"/>
                <w:sz w:val="18"/>
                <w:szCs w:val="18"/>
                <w:lang w:val="en-US" w:eastAsia="zh-CN"/>
              </w:rPr>
            </w:pPr>
          </w:p>
        </w:tc>
        <w:tc>
          <w:tcPr>
            <w:tcW w:w="1073" w:type="dxa"/>
            <w:vMerge w:val="continue"/>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p>
        </w:tc>
        <w:tc>
          <w:tcPr>
            <w:tcW w:w="1109" w:type="dxa"/>
            <w:vMerge w:val="restart"/>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蔬菜</w:t>
            </w:r>
          </w:p>
        </w:tc>
        <w:tc>
          <w:tcPr>
            <w:tcW w:w="1210" w:type="dxa"/>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叶菜类蔬菜</w:t>
            </w:r>
          </w:p>
        </w:tc>
        <w:tc>
          <w:tcPr>
            <w:tcW w:w="1181" w:type="dxa"/>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油麦菜</w:t>
            </w:r>
          </w:p>
        </w:tc>
        <w:tc>
          <w:tcPr>
            <w:tcW w:w="4167" w:type="dxa"/>
            <w:vAlign w:val="center"/>
          </w:tcPr>
          <w:p>
            <w:pPr>
              <w:keepNext w:val="0"/>
              <w:keepLines w:val="0"/>
              <w:widowControl/>
              <w:suppressLineNumbers w:val="0"/>
              <w:jc w:val="left"/>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GB 2763-2021《食品安全国家标准 食品中农药最大残留限量》</w:t>
            </w:r>
          </w:p>
        </w:tc>
        <w:tc>
          <w:tcPr>
            <w:tcW w:w="45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阿维菌素、毒死蜱、氟虫腈、氧乐果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6" w:type="dxa"/>
            <w:vMerge w:val="continue"/>
            <w:vAlign w:val="center"/>
          </w:tcPr>
          <w:p>
            <w:pPr>
              <w:widowControl/>
              <w:snapToGrid w:val="0"/>
              <w:spacing w:line="360" w:lineRule="exact"/>
              <w:jc w:val="center"/>
              <w:rPr>
                <w:rFonts w:hint="eastAsia" w:ascii="宋体" w:hAnsi="宋体" w:cs="宋体"/>
                <w:sz w:val="18"/>
                <w:szCs w:val="18"/>
                <w:lang w:val="en-US" w:eastAsia="zh-CN"/>
              </w:rPr>
            </w:pPr>
          </w:p>
        </w:tc>
        <w:tc>
          <w:tcPr>
            <w:tcW w:w="1073" w:type="dxa"/>
            <w:vMerge w:val="continue"/>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p>
        </w:tc>
        <w:tc>
          <w:tcPr>
            <w:tcW w:w="1109" w:type="dxa"/>
            <w:vMerge w:val="continue"/>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p>
        </w:tc>
        <w:tc>
          <w:tcPr>
            <w:tcW w:w="1210" w:type="dxa"/>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根茎类和薯芋类蔬菜</w:t>
            </w:r>
          </w:p>
        </w:tc>
        <w:tc>
          <w:tcPr>
            <w:tcW w:w="1181" w:type="dxa"/>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马铃薯</w:t>
            </w:r>
          </w:p>
        </w:tc>
        <w:tc>
          <w:tcPr>
            <w:tcW w:w="4167" w:type="dxa"/>
            <w:vAlign w:val="center"/>
          </w:tcPr>
          <w:p>
            <w:pPr>
              <w:keepNext w:val="0"/>
              <w:keepLines w:val="0"/>
              <w:widowControl/>
              <w:suppressLineNumbers w:val="0"/>
              <w:jc w:val="left"/>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GB 2762-2022《食品安全国家标准 食品中污染物限量》</w:t>
            </w:r>
          </w:p>
          <w:p>
            <w:pPr>
              <w:keepNext w:val="0"/>
              <w:keepLines w:val="0"/>
              <w:widowControl/>
              <w:suppressLineNumbers w:val="0"/>
              <w:jc w:val="left"/>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GB 2763-2021《食品安全国家标准 食品中农药最大残留限量》</w:t>
            </w:r>
          </w:p>
        </w:tc>
        <w:tc>
          <w:tcPr>
            <w:tcW w:w="45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毒死蜱、氟虫腈、镉(以Cd计)、水胺硫磷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6" w:type="dxa"/>
            <w:vMerge w:val="continue"/>
            <w:vAlign w:val="center"/>
          </w:tcPr>
          <w:p>
            <w:pPr>
              <w:widowControl/>
              <w:snapToGrid w:val="0"/>
              <w:spacing w:line="360" w:lineRule="exact"/>
              <w:jc w:val="center"/>
              <w:rPr>
                <w:rFonts w:hint="eastAsia" w:ascii="宋体" w:hAnsi="宋体" w:cs="宋体"/>
                <w:sz w:val="18"/>
                <w:szCs w:val="18"/>
                <w:lang w:val="en-US" w:eastAsia="zh-CN"/>
              </w:rPr>
            </w:pPr>
          </w:p>
        </w:tc>
        <w:tc>
          <w:tcPr>
            <w:tcW w:w="1073" w:type="dxa"/>
            <w:vMerge w:val="continue"/>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p>
        </w:tc>
        <w:tc>
          <w:tcPr>
            <w:tcW w:w="1109" w:type="dxa"/>
            <w:vMerge w:val="restart"/>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水果类</w:t>
            </w:r>
          </w:p>
        </w:tc>
        <w:tc>
          <w:tcPr>
            <w:tcW w:w="1210" w:type="dxa"/>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柑橘类水果</w:t>
            </w:r>
          </w:p>
        </w:tc>
        <w:tc>
          <w:tcPr>
            <w:tcW w:w="1181" w:type="dxa"/>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柠檬</w:t>
            </w:r>
          </w:p>
        </w:tc>
        <w:tc>
          <w:tcPr>
            <w:tcW w:w="4167" w:type="dxa"/>
            <w:vAlign w:val="center"/>
          </w:tcPr>
          <w:p>
            <w:pPr>
              <w:keepNext w:val="0"/>
              <w:keepLines w:val="0"/>
              <w:widowControl/>
              <w:suppressLineNumbers w:val="0"/>
              <w:jc w:val="left"/>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GB 2763-2021《食品安全国家标准 食品中农药最大残留限量》</w:t>
            </w:r>
          </w:p>
        </w:tc>
        <w:tc>
          <w:tcPr>
            <w:tcW w:w="45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多菌灵、克百威、联苯菊酯、水胺硫磷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6" w:type="dxa"/>
            <w:vMerge w:val="continue"/>
            <w:vAlign w:val="center"/>
          </w:tcPr>
          <w:p>
            <w:pPr>
              <w:widowControl/>
              <w:snapToGrid w:val="0"/>
              <w:spacing w:line="360" w:lineRule="exact"/>
              <w:jc w:val="center"/>
              <w:rPr>
                <w:rFonts w:hint="eastAsia" w:ascii="宋体" w:hAnsi="宋体" w:cs="宋体"/>
                <w:sz w:val="18"/>
                <w:szCs w:val="18"/>
                <w:lang w:val="en-US" w:eastAsia="zh-CN"/>
              </w:rPr>
            </w:pPr>
          </w:p>
        </w:tc>
        <w:tc>
          <w:tcPr>
            <w:tcW w:w="1073" w:type="dxa"/>
            <w:vMerge w:val="continue"/>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p>
        </w:tc>
        <w:tc>
          <w:tcPr>
            <w:tcW w:w="1109" w:type="dxa"/>
            <w:vMerge w:val="continue"/>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p>
        </w:tc>
        <w:tc>
          <w:tcPr>
            <w:tcW w:w="1210" w:type="dxa"/>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热带和亚热带水果</w:t>
            </w:r>
          </w:p>
        </w:tc>
        <w:tc>
          <w:tcPr>
            <w:tcW w:w="1181" w:type="dxa"/>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芒果</w:t>
            </w:r>
          </w:p>
        </w:tc>
        <w:tc>
          <w:tcPr>
            <w:tcW w:w="4167" w:type="dxa"/>
            <w:vAlign w:val="center"/>
          </w:tcPr>
          <w:p>
            <w:pPr>
              <w:keepNext w:val="0"/>
              <w:keepLines w:val="0"/>
              <w:widowControl/>
              <w:suppressLineNumbers w:val="0"/>
              <w:jc w:val="left"/>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GB 2763-2021《食品安全国家标准 食品中农药最大残留限量》</w:t>
            </w:r>
          </w:p>
        </w:tc>
        <w:tc>
          <w:tcPr>
            <w:tcW w:w="45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吡唑醚菌酯、多菌灵、噻虫胺、氧乐果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6" w:type="dxa"/>
            <w:vMerge w:val="continue"/>
            <w:vAlign w:val="center"/>
          </w:tcPr>
          <w:p>
            <w:pPr>
              <w:widowControl/>
              <w:snapToGrid w:val="0"/>
              <w:spacing w:line="360" w:lineRule="exact"/>
              <w:jc w:val="center"/>
              <w:rPr>
                <w:rFonts w:hint="eastAsia" w:ascii="宋体" w:hAnsi="宋体" w:cs="宋体"/>
                <w:sz w:val="18"/>
                <w:szCs w:val="18"/>
                <w:lang w:val="en-US" w:eastAsia="zh-CN"/>
              </w:rPr>
            </w:pPr>
          </w:p>
        </w:tc>
        <w:tc>
          <w:tcPr>
            <w:tcW w:w="1073" w:type="dxa"/>
            <w:vMerge w:val="continue"/>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p>
        </w:tc>
        <w:tc>
          <w:tcPr>
            <w:tcW w:w="1109" w:type="dxa"/>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鲜蛋</w:t>
            </w:r>
          </w:p>
        </w:tc>
        <w:tc>
          <w:tcPr>
            <w:tcW w:w="1210" w:type="dxa"/>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鲜蛋</w:t>
            </w:r>
          </w:p>
        </w:tc>
        <w:tc>
          <w:tcPr>
            <w:tcW w:w="1181" w:type="dxa"/>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鸡蛋</w:t>
            </w:r>
          </w:p>
        </w:tc>
        <w:tc>
          <w:tcPr>
            <w:tcW w:w="4167" w:type="dxa"/>
            <w:vAlign w:val="center"/>
          </w:tcPr>
          <w:p>
            <w:pPr>
              <w:keepNext w:val="0"/>
              <w:keepLines w:val="0"/>
              <w:widowControl/>
              <w:suppressLineNumbers w:val="0"/>
              <w:jc w:val="left"/>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GB 31650.1-2022《食品安全国家标准 食品中41种兽药最大残留限量》</w:t>
            </w:r>
          </w:p>
          <w:p>
            <w:pPr>
              <w:keepNext w:val="0"/>
              <w:keepLines w:val="0"/>
              <w:widowControl/>
              <w:suppressLineNumbers w:val="0"/>
              <w:jc w:val="left"/>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GB 31650-2019《食品安全国家标准 食品中兽药最大残留限量》</w:t>
            </w:r>
          </w:p>
        </w:tc>
        <w:tc>
          <w:tcPr>
            <w:tcW w:w="45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地美硝唑、多西环素、恩诺沙星、氟苯尼考、甲硝唑、甲氧苄啶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6" w:type="dxa"/>
            <w:vAlign w:val="center"/>
          </w:tcPr>
          <w:p>
            <w:pPr>
              <w:widowControl/>
              <w:snapToGrid w:val="0"/>
              <w:spacing w:line="360" w:lineRule="exact"/>
              <w:jc w:val="center"/>
              <w:rPr>
                <w:rFonts w:hint="default" w:ascii="宋体" w:hAnsi="宋体" w:cs="宋体"/>
                <w:sz w:val="18"/>
                <w:szCs w:val="18"/>
                <w:lang w:val="en-US" w:eastAsia="zh-CN"/>
              </w:rPr>
            </w:pPr>
            <w:r>
              <w:rPr>
                <w:rFonts w:hint="eastAsia" w:ascii="宋体" w:hAnsi="宋体" w:cs="宋体"/>
                <w:sz w:val="18"/>
                <w:szCs w:val="18"/>
                <w:lang w:val="en-US" w:eastAsia="zh-CN"/>
              </w:rPr>
              <w:t>2</w:t>
            </w:r>
          </w:p>
        </w:tc>
        <w:tc>
          <w:tcPr>
            <w:tcW w:w="107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饼干</w:t>
            </w:r>
          </w:p>
        </w:tc>
        <w:tc>
          <w:tcPr>
            <w:tcW w:w="110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饼干</w:t>
            </w:r>
          </w:p>
        </w:tc>
        <w:tc>
          <w:tcPr>
            <w:tcW w:w="12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饼干</w:t>
            </w:r>
          </w:p>
        </w:tc>
        <w:tc>
          <w:tcPr>
            <w:tcW w:w="118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饼干</w:t>
            </w:r>
          </w:p>
        </w:tc>
        <w:tc>
          <w:tcPr>
            <w:tcW w:w="4167" w:type="dxa"/>
            <w:vAlign w:val="center"/>
          </w:tcPr>
          <w:p>
            <w:pPr>
              <w:keepNext w:val="0"/>
              <w:keepLines w:val="0"/>
              <w:widowControl/>
              <w:suppressLineNumbers w:val="0"/>
              <w:jc w:val="left"/>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GB 2760-2014《食品安全国家标准 食品添加剂使用标准》</w:t>
            </w:r>
          </w:p>
          <w:p>
            <w:pPr>
              <w:keepNext w:val="0"/>
              <w:keepLines w:val="0"/>
              <w:widowControl/>
              <w:suppressLineNumbers w:val="0"/>
              <w:jc w:val="left"/>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GB 29921-2021《食品安全国家标准 预包装食品中致病菌限量》</w:t>
            </w:r>
          </w:p>
          <w:p>
            <w:pPr>
              <w:keepNext w:val="0"/>
              <w:keepLines w:val="0"/>
              <w:widowControl/>
              <w:suppressLineNumbers w:val="0"/>
              <w:jc w:val="left"/>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GB 7100-2015《食品安全国家标准 饼干》</w:t>
            </w:r>
          </w:p>
        </w:tc>
        <w:tc>
          <w:tcPr>
            <w:tcW w:w="45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苯甲酸及其钠盐(以苯甲酸计)、大肠菌群、二氧化硫残留量、金黄色葡萄球菌、菌落总数、铝的残留量(干样品,以Al计)、霉菌、沙门氏菌、山梨酸及其钾盐(以山梨酸计)、糖精钠(以糖精计)、甜蜜素(以环己基氨基磺酸计)、脱氢乙酸及其钠盐(以脱氢乙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6" w:type="dxa"/>
            <w:vAlign w:val="center"/>
          </w:tcPr>
          <w:p>
            <w:pPr>
              <w:widowControl/>
              <w:snapToGrid w:val="0"/>
              <w:spacing w:line="360" w:lineRule="exact"/>
              <w:jc w:val="center"/>
              <w:rPr>
                <w:rFonts w:hint="default" w:ascii="宋体" w:hAnsi="宋体" w:cs="宋体"/>
                <w:sz w:val="18"/>
                <w:szCs w:val="18"/>
                <w:lang w:val="en-US" w:eastAsia="zh-CN"/>
              </w:rPr>
            </w:pPr>
            <w:r>
              <w:rPr>
                <w:rFonts w:hint="eastAsia" w:ascii="宋体" w:hAnsi="宋体" w:cs="宋体"/>
                <w:sz w:val="18"/>
                <w:szCs w:val="18"/>
                <w:lang w:val="en-US" w:eastAsia="zh-CN"/>
              </w:rPr>
              <w:t>3</w:t>
            </w:r>
          </w:p>
        </w:tc>
        <w:tc>
          <w:tcPr>
            <w:tcW w:w="107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炒货食品及坚果制品</w:t>
            </w:r>
          </w:p>
        </w:tc>
        <w:tc>
          <w:tcPr>
            <w:tcW w:w="110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炒货食品及坚果制品</w:t>
            </w:r>
          </w:p>
        </w:tc>
        <w:tc>
          <w:tcPr>
            <w:tcW w:w="12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炒货食品及坚果制品(烘炒类、油炸类、其他类)</w:t>
            </w:r>
          </w:p>
        </w:tc>
        <w:tc>
          <w:tcPr>
            <w:tcW w:w="118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开心果、杏仁、扁桃仁、松仁、瓜子</w:t>
            </w:r>
          </w:p>
        </w:tc>
        <w:tc>
          <w:tcPr>
            <w:tcW w:w="4167" w:type="dxa"/>
            <w:vAlign w:val="center"/>
          </w:tcPr>
          <w:p>
            <w:pPr>
              <w:keepNext w:val="0"/>
              <w:keepLines w:val="0"/>
              <w:widowControl/>
              <w:suppressLineNumbers w:val="0"/>
              <w:jc w:val="left"/>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GB 2760-2014《食品安全国家标准 食品添加剂使用标准》</w:t>
            </w:r>
          </w:p>
          <w:p>
            <w:pPr>
              <w:keepNext w:val="0"/>
              <w:keepLines w:val="0"/>
              <w:widowControl/>
              <w:suppressLineNumbers w:val="0"/>
              <w:jc w:val="left"/>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GB 2762-2022《食品安全国家标准 食品中污染物限量》</w:t>
            </w:r>
          </w:p>
        </w:tc>
        <w:tc>
          <w:tcPr>
            <w:tcW w:w="45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苯甲酸及其钠盐(以苯甲酸计)、二氧化硫残留量、铅(以Pb计)、山梨酸及其钾盐(以山梨酸计)、糖精钠(以糖精计)、甜蜜素(以环己基氨基磺酸计)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6" w:type="dxa"/>
            <w:vMerge w:val="restart"/>
            <w:vAlign w:val="center"/>
          </w:tcPr>
          <w:p>
            <w:pPr>
              <w:widowControl/>
              <w:snapToGrid w:val="0"/>
              <w:spacing w:line="360" w:lineRule="exact"/>
              <w:jc w:val="center"/>
              <w:rPr>
                <w:rFonts w:hint="default" w:ascii="宋体" w:hAnsi="宋体" w:cs="宋体"/>
                <w:sz w:val="18"/>
                <w:szCs w:val="18"/>
                <w:lang w:val="en-US" w:eastAsia="zh-CN"/>
              </w:rPr>
            </w:pPr>
            <w:r>
              <w:rPr>
                <w:rFonts w:hint="eastAsia" w:ascii="宋体" w:hAnsi="宋体" w:cs="宋体"/>
                <w:sz w:val="18"/>
                <w:szCs w:val="18"/>
                <w:lang w:val="en-US" w:eastAsia="zh-CN"/>
              </w:rPr>
              <w:t>4</w:t>
            </w:r>
          </w:p>
        </w:tc>
        <w:tc>
          <w:tcPr>
            <w:tcW w:w="1073" w:type="dxa"/>
            <w:vMerge w:val="restart"/>
            <w:shd w:val="clear" w:color="auto" w:fill="auto"/>
            <w:vAlign w:val="center"/>
          </w:tcPr>
          <w:p>
            <w:pPr>
              <w:jc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淀粉及淀粉制品</w:t>
            </w:r>
          </w:p>
        </w:tc>
        <w:tc>
          <w:tcPr>
            <w:tcW w:w="1109" w:type="dxa"/>
            <w:vMerge w:val="restart"/>
            <w:shd w:val="clear" w:color="auto" w:fill="auto"/>
            <w:vAlign w:val="center"/>
          </w:tcPr>
          <w:p>
            <w:pPr>
              <w:jc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淀粉及淀粉制品</w:t>
            </w:r>
          </w:p>
        </w:tc>
        <w:tc>
          <w:tcPr>
            <w:tcW w:w="1210" w:type="dxa"/>
            <w:shd w:val="clear" w:color="auto" w:fill="auto"/>
            <w:vAlign w:val="center"/>
          </w:tcPr>
          <w:p>
            <w:pPr>
              <w:jc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淀粉</w:t>
            </w:r>
          </w:p>
        </w:tc>
        <w:tc>
          <w:tcPr>
            <w:tcW w:w="118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淀粉</w:t>
            </w:r>
          </w:p>
        </w:tc>
        <w:tc>
          <w:tcPr>
            <w:tcW w:w="4167" w:type="dxa"/>
            <w:vAlign w:val="center"/>
          </w:tcPr>
          <w:p>
            <w:pPr>
              <w:keepNext w:val="0"/>
              <w:keepLines w:val="0"/>
              <w:widowControl/>
              <w:suppressLineNumbers w:val="0"/>
              <w:jc w:val="left"/>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GB 2760-2014《食品安全国家标准 食品添加剂使用标准》</w:t>
            </w:r>
          </w:p>
          <w:p>
            <w:pPr>
              <w:keepNext w:val="0"/>
              <w:keepLines w:val="0"/>
              <w:widowControl/>
              <w:suppressLineNumbers w:val="0"/>
              <w:jc w:val="left"/>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GB 2762-2022《食品安全国家标准 食品中污染物限量》</w:t>
            </w:r>
          </w:p>
          <w:p>
            <w:pPr>
              <w:keepNext w:val="0"/>
              <w:keepLines w:val="0"/>
              <w:widowControl/>
              <w:suppressLineNumbers w:val="0"/>
              <w:jc w:val="left"/>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GB 31637-2016《食品安全国家标准 食用淀粉》</w:t>
            </w:r>
          </w:p>
        </w:tc>
        <w:tc>
          <w:tcPr>
            <w:tcW w:w="45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大肠菌群、菌落总数、霉菌和酵母、铅(以Pb计)、脱氢乙酸及其钠盐(以脱氢乙酸计)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6" w:type="dxa"/>
            <w:vMerge w:val="continue"/>
            <w:vAlign w:val="center"/>
          </w:tcPr>
          <w:p>
            <w:pPr>
              <w:widowControl/>
              <w:snapToGrid w:val="0"/>
              <w:spacing w:line="360" w:lineRule="exact"/>
              <w:jc w:val="center"/>
              <w:rPr>
                <w:rFonts w:hint="eastAsia" w:ascii="宋体" w:hAnsi="宋体" w:cs="宋体"/>
                <w:sz w:val="18"/>
                <w:szCs w:val="18"/>
                <w:lang w:val="en-US" w:eastAsia="zh-CN"/>
              </w:rPr>
            </w:pPr>
          </w:p>
        </w:tc>
        <w:tc>
          <w:tcPr>
            <w:tcW w:w="1073" w:type="dxa"/>
            <w:vMerge w:val="continue"/>
            <w:shd w:val="clear" w:color="auto" w:fill="auto"/>
            <w:vAlign w:val="center"/>
          </w:tcPr>
          <w:p>
            <w:pPr>
              <w:jc w:val="center"/>
              <w:rPr>
                <w:rFonts w:hint="eastAsia" w:ascii="宋体" w:hAnsi="宋体" w:cs="宋体"/>
                <w:i w:val="0"/>
                <w:iCs w:val="0"/>
                <w:color w:val="000000"/>
                <w:kern w:val="0"/>
                <w:sz w:val="18"/>
                <w:szCs w:val="18"/>
                <w:highlight w:val="none"/>
                <w:u w:val="none"/>
                <w:lang w:val="en-US" w:eastAsia="zh-CN" w:bidi="ar"/>
              </w:rPr>
            </w:pPr>
          </w:p>
        </w:tc>
        <w:tc>
          <w:tcPr>
            <w:tcW w:w="1109" w:type="dxa"/>
            <w:vMerge w:val="continue"/>
            <w:shd w:val="clear" w:color="auto" w:fill="auto"/>
            <w:vAlign w:val="center"/>
          </w:tcPr>
          <w:p>
            <w:pPr>
              <w:jc w:val="center"/>
              <w:rPr>
                <w:rFonts w:hint="eastAsia" w:ascii="宋体" w:hAnsi="宋体" w:cs="宋体"/>
                <w:i w:val="0"/>
                <w:iCs w:val="0"/>
                <w:color w:val="000000"/>
                <w:kern w:val="0"/>
                <w:sz w:val="18"/>
                <w:szCs w:val="18"/>
                <w:highlight w:val="none"/>
                <w:u w:val="none"/>
                <w:lang w:val="en-US" w:eastAsia="zh-CN" w:bidi="ar"/>
              </w:rPr>
            </w:pPr>
          </w:p>
        </w:tc>
        <w:tc>
          <w:tcPr>
            <w:tcW w:w="12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淀粉制品</w:t>
            </w:r>
          </w:p>
        </w:tc>
        <w:tc>
          <w:tcPr>
            <w:tcW w:w="118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粉丝粉条</w:t>
            </w:r>
          </w:p>
        </w:tc>
        <w:tc>
          <w:tcPr>
            <w:tcW w:w="4167" w:type="dxa"/>
            <w:vAlign w:val="center"/>
          </w:tcPr>
          <w:p>
            <w:pPr>
              <w:keepNext w:val="0"/>
              <w:keepLines w:val="0"/>
              <w:widowControl/>
              <w:suppressLineNumbers w:val="0"/>
              <w:jc w:val="left"/>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GB 2760-2014《食品安全国家标准 食品添加剂使用标准》</w:t>
            </w:r>
          </w:p>
          <w:p>
            <w:pPr>
              <w:keepNext w:val="0"/>
              <w:keepLines w:val="0"/>
              <w:widowControl/>
              <w:suppressLineNumbers w:val="0"/>
              <w:jc w:val="left"/>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产品明示标准和质量要求</w:t>
            </w:r>
          </w:p>
          <w:p>
            <w:pPr>
              <w:keepNext w:val="0"/>
              <w:keepLines w:val="0"/>
              <w:widowControl/>
              <w:suppressLineNumbers w:val="0"/>
              <w:jc w:val="left"/>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GB 2762-2022《食品安全国家标准 食品中污染物限量》</w:t>
            </w:r>
          </w:p>
        </w:tc>
        <w:tc>
          <w:tcPr>
            <w:tcW w:w="45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苯甲酸及其钠盐(以苯甲酸计)、二氧化硫残留量、铝的残留量(干样品,以Al计)、米酵菌酸、铅(以Pb计)、山梨酸及其钾盐(以山梨酸计)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6" w:type="dxa"/>
            <w:vAlign w:val="center"/>
          </w:tcPr>
          <w:p>
            <w:pPr>
              <w:widowControl/>
              <w:snapToGrid w:val="0"/>
              <w:spacing w:line="360" w:lineRule="exact"/>
              <w:jc w:val="center"/>
              <w:rPr>
                <w:rFonts w:hint="default" w:ascii="宋体" w:hAnsi="宋体" w:cs="宋体"/>
                <w:sz w:val="18"/>
                <w:szCs w:val="18"/>
                <w:lang w:val="en-US" w:eastAsia="zh-CN"/>
              </w:rPr>
            </w:pPr>
            <w:r>
              <w:rPr>
                <w:rFonts w:hint="eastAsia" w:ascii="宋体" w:hAnsi="宋体" w:cs="宋体"/>
                <w:sz w:val="18"/>
                <w:szCs w:val="18"/>
                <w:lang w:val="en-US" w:eastAsia="zh-CN"/>
              </w:rPr>
              <w:t>5</w:t>
            </w:r>
          </w:p>
        </w:tc>
        <w:tc>
          <w:tcPr>
            <w:tcW w:w="107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豆制品</w:t>
            </w:r>
          </w:p>
        </w:tc>
        <w:tc>
          <w:tcPr>
            <w:tcW w:w="110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u w:val="none"/>
                <w:lang w:val="en-US" w:eastAsia="zh-CN" w:bidi="ar"/>
              </w:rPr>
              <w:t>豆制品</w:t>
            </w:r>
          </w:p>
        </w:tc>
        <w:tc>
          <w:tcPr>
            <w:tcW w:w="12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非发酵性豆制品</w:t>
            </w:r>
          </w:p>
        </w:tc>
        <w:tc>
          <w:tcPr>
            <w:tcW w:w="118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腐竹、油皮及其再制品</w:t>
            </w:r>
          </w:p>
        </w:tc>
        <w:tc>
          <w:tcPr>
            <w:tcW w:w="4167" w:type="dxa"/>
            <w:vAlign w:val="center"/>
          </w:tcPr>
          <w:p>
            <w:pPr>
              <w:keepNext w:val="0"/>
              <w:keepLines w:val="0"/>
              <w:widowControl/>
              <w:suppressLineNumbers w:val="0"/>
              <w:jc w:val="left"/>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GB 2760-2014《食品安全国家标准 食品添加剂使用标准》</w:t>
            </w:r>
          </w:p>
        </w:tc>
        <w:tc>
          <w:tcPr>
            <w:tcW w:w="45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苯甲酸及其钠盐(以苯甲酸计)、二氧化硫残留量、铝的残留量(干样品,以Al计)、山梨酸及其钾盐(以山梨酸计)、脱氢乙酸及其钠盐(以脱氢乙酸计)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6" w:type="dxa"/>
            <w:vMerge w:val="restart"/>
            <w:vAlign w:val="center"/>
          </w:tcPr>
          <w:p>
            <w:pPr>
              <w:widowControl/>
              <w:snapToGrid w:val="0"/>
              <w:spacing w:line="360" w:lineRule="exact"/>
              <w:jc w:val="center"/>
              <w:rPr>
                <w:rFonts w:hint="default" w:ascii="宋体" w:hAnsi="宋体" w:cs="宋体"/>
                <w:sz w:val="18"/>
                <w:szCs w:val="18"/>
                <w:lang w:val="en-US" w:eastAsia="zh-CN"/>
              </w:rPr>
            </w:pPr>
            <w:r>
              <w:rPr>
                <w:rFonts w:hint="eastAsia" w:ascii="宋体" w:hAnsi="宋体" w:cs="宋体"/>
                <w:sz w:val="18"/>
                <w:szCs w:val="18"/>
                <w:lang w:val="en-US" w:eastAsia="zh-CN"/>
              </w:rPr>
              <w:t>6</w:t>
            </w:r>
          </w:p>
        </w:tc>
        <w:tc>
          <w:tcPr>
            <w:tcW w:w="107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蔬菜制品</w:t>
            </w:r>
          </w:p>
        </w:tc>
        <w:tc>
          <w:tcPr>
            <w:tcW w:w="110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蔬菜制品</w:t>
            </w:r>
          </w:p>
        </w:tc>
        <w:tc>
          <w:tcPr>
            <w:tcW w:w="12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蔬菜干制品</w:t>
            </w:r>
          </w:p>
        </w:tc>
        <w:tc>
          <w:tcPr>
            <w:tcW w:w="118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蔬菜干制品</w:t>
            </w:r>
          </w:p>
        </w:tc>
        <w:tc>
          <w:tcPr>
            <w:tcW w:w="416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GB 2760-2014《食品安全国家标准 食品添加剂使用标准》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GB 2762-2022《食品安全国家标准 食品中污染物限量》</w:t>
            </w:r>
          </w:p>
        </w:tc>
        <w:tc>
          <w:tcPr>
            <w:tcW w:w="45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苯甲酸及其钠盐(以苯甲酸计)、二氧化硫残留量、铅(以Pb计)、山梨酸及其钾盐(以山梨酸计)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6" w:type="dxa"/>
            <w:vMerge w:val="continue"/>
            <w:vAlign w:val="center"/>
          </w:tcPr>
          <w:p>
            <w:pPr>
              <w:widowControl/>
              <w:snapToGrid w:val="0"/>
              <w:spacing w:line="360" w:lineRule="exact"/>
              <w:jc w:val="center"/>
              <w:rPr>
                <w:rFonts w:hint="eastAsia" w:ascii="宋体" w:hAnsi="宋体" w:cs="宋体"/>
                <w:sz w:val="18"/>
                <w:szCs w:val="18"/>
                <w:lang w:val="en-US" w:eastAsia="zh-CN"/>
              </w:rPr>
            </w:pPr>
          </w:p>
        </w:tc>
        <w:tc>
          <w:tcPr>
            <w:tcW w:w="1073"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09"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10" w:type="dxa"/>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酱腌菜</w:t>
            </w:r>
          </w:p>
        </w:tc>
        <w:tc>
          <w:tcPr>
            <w:tcW w:w="1181" w:type="dxa"/>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酱腌菜</w:t>
            </w:r>
          </w:p>
        </w:tc>
        <w:tc>
          <w:tcPr>
            <w:tcW w:w="416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GB 2760-2014《食品安全国家标准 食品添加剂使用标准》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GB 2714-2015《食品安全国家标准 酱腌菜》</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GB 2762-2022《食品安全国家标准 食品中污染物限量》</w:t>
            </w:r>
          </w:p>
        </w:tc>
        <w:tc>
          <w:tcPr>
            <w:tcW w:w="45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大肠菌群、二氧化硫残留量、铅(以Pb计)、山梨酸及其钾盐(以山梨酸计)、糖精钠(以糖精计)、脱氢乙酸及其钠盐(以脱氢乙酸计)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6" w:type="dxa"/>
            <w:vMerge w:val="restart"/>
            <w:vAlign w:val="center"/>
          </w:tcPr>
          <w:p>
            <w:pPr>
              <w:widowControl/>
              <w:snapToGrid w:val="0"/>
              <w:spacing w:line="360" w:lineRule="exact"/>
              <w:jc w:val="center"/>
              <w:rPr>
                <w:rFonts w:hint="default" w:ascii="宋体" w:hAnsi="宋体" w:cs="宋体"/>
                <w:sz w:val="18"/>
                <w:szCs w:val="18"/>
                <w:lang w:val="en-US" w:eastAsia="zh-CN"/>
              </w:rPr>
            </w:pPr>
            <w:r>
              <w:rPr>
                <w:rFonts w:hint="eastAsia" w:ascii="宋体" w:hAnsi="宋体" w:cs="宋体"/>
                <w:sz w:val="18"/>
                <w:szCs w:val="18"/>
                <w:lang w:val="en-US" w:eastAsia="zh-CN"/>
              </w:rPr>
              <w:t>7</w:t>
            </w:r>
          </w:p>
        </w:tc>
        <w:tc>
          <w:tcPr>
            <w:tcW w:w="107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糖果制品</w:t>
            </w:r>
          </w:p>
        </w:tc>
        <w:tc>
          <w:tcPr>
            <w:tcW w:w="110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u w:val="none"/>
                <w:lang w:val="en-US" w:eastAsia="zh-CN" w:bidi="ar"/>
              </w:rPr>
              <w:t>糖果制品(含巧克力及制品)</w:t>
            </w:r>
          </w:p>
        </w:tc>
        <w:tc>
          <w:tcPr>
            <w:tcW w:w="12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u w:val="none"/>
                <w:lang w:val="en-US" w:eastAsia="zh-CN" w:bidi="ar"/>
              </w:rPr>
              <w:t>果冻</w:t>
            </w:r>
          </w:p>
        </w:tc>
        <w:tc>
          <w:tcPr>
            <w:tcW w:w="118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u w:val="none"/>
                <w:lang w:val="en-US" w:eastAsia="zh-CN" w:bidi="ar"/>
              </w:rPr>
              <w:t>果冻</w:t>
            </w:r>
          </w:p>
        </w:tc>
        <w:tc>
          <w:tcPr>
            <w:tcW w:w="416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GB 19299-2015《食品安全国家标准 果冻》</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GB 2760-2014《食品安全国家标准 食品添加剂使用标准》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GB 2762-2022《食品安全国家标准 食品中污染物限量》</w:t>
            </w:r>
          </w:p>
        </w:tc>
        <w:tc>
          <w:tcPr>
            <w:tcW w:w="45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苯甲酸及其钠盐(以苯甲酸计)、大肠菌群、酵母、菌落总数、霉菌、铅(以Pb计)、山梨酸及其钾盐(以山梨酸计)、糖精钠(以糖精计)、甜蜜素(以环己基氨基磺酸计)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6" w:type="dxa"/>
            <w:vMerge w:val="continue"/>
            <w:vAlign w:val="center"/>
          </w:tcPr>
          <w:p>
            <w:pPr>
              <w:widowControl/>
              <w:snapToGrid w:val="0"/>
              <w:spacing w:line="360" w:lineRule="exact"/>
              <w:jc w:val="center"/>
              <w:rPr>
                <w:rFonts w:hint="eastAsia" w:ascii="宋体" w:hAnsi="宋体" w:cs="宋体"/>
                <w:sz w:val="18"/>
                <w:szCs w:val="18"/>
                <w:lang w:val="en-US" w:eastAsia="zh-CN"/>
              </w:rPr>
            </w:pPr>
          </w:p>
        </w:tc>
        <w:tc>
          <w:tcPr>
            <w:tcW w:w="1073" w:type="dxa"/>
            <w:vMerge w:val="continue"/>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tc>
        <w:tc>
          <w:tcPr>
            <w:tcW w:w="1109" w:type="dxa"/>
            <w:vMerge w:val="continue"/>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tc>
        <w:tc>
          <w:tcPr>
            <w:tcW w:w="1210" w:type="dxa"/>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糖果</w:t>
            </w:r>
          </w:p>
        </w:tc>
        <w:tc>
          <w:tcPr>
            <w:tcW w:w="1181" w:type="dxa"/>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糖果</w:t>
            </w:r>
          </w:p>
        </w:tc>
        <w:tc>
          <w:tcPr>
            <w:tcW w:w="416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GB 2760-2014《食品安全国家标准 食品添加剂使用标准》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GB 17399-2016《食品安全国家标准 糖果》</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GB 2762-2022《食品安全国家标准 食品中污染物限量》</w:t>
            </w:r>
          </w:p>
        </w:tc>
        <w:tc>
          <w:tcPr>
            <w:tcW w:w="45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大肠菌群、二氧化硫残留量、菌落总数、柠檬黄、铅(以Pb计)、日落黄、糖精钠(以糖精计)、苋菜红、胭脂红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6" w:type="dxa"/>
            <w:vMerge w:val="restart"/>
            <w:vAlign w:val="center"/>
          </w:tcPr>
          <w:p>
            <w:pPr>
              <w:widowControl/>
              <w:snapToGrid w:val="0"/>
              <w:spacing w:line="360" w:lineRule="exact"/>
              <w:jc w:val="center"/>
              <w:rPr>
                <w:rFonts w:hint="default" w:ascii="宋体" w:hAnsi="宋体" w:cs="宋体"/>
                <w:sz w:val="18"/>
                <w:szCs w:val="18"/>
                <w:lang w:val="en-US" w:eastAsia="zh-CN"/>
              </w:rPr>
            </w:pPr>
            <w:r>
              <w:rPr>
                <w:rFonts w:hint="eastAsia" w:ascii="宋体" w:hAnsi="宋体" w:cs="宋体"/>
                <w:sz w:val="18"/>
                <w:szCs w:val="18"/>
                <w:lang w:val="en-US" w:eastAsia="zh-CN"/>
              </w:rPr>
              <w:t>8</w:t>
            </w:r>
          </w:p>
        </w:tc>
        <w:tc>
          <w:tcPr>
            <w:tcW w:w="107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饮料</w:t>
            </w:r>
          </w:p>
        </w:tc>
        <w:tc>
          <w:tcPr>
            <w:tcW w:w="110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饮料</w:t>
            </w:r>
          </w:p>
        </w:tc>
        <w:tc>
          <w:tcPr>
            <w:tcW w:w="12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茶饮料</w:t>
            </w:r>
          </w:p>
        </w:tc>
        <w:tc>
          <w:tcPr>
            <w:tcW w:w="118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茶饮料</w:t>
            </w:r>
          </w:p>
        </w:tc>
        <w:tc>
          <w:tcPr>
            <w:tcW w:w="416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GB 2760-2014《食品安全国家标准 食品添加剂使用标准》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GB 7101-2022《食品安全国家标准 饮料》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产品明示标准和质量要求</w:t>
            </w:r>
          </w:p>
        </w:tc>
        <w:tc>
          <w:tcPr>
            <w:tcW w:w="45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茶多酚、菌落总数、咖啡因、脱氢乙酸及其钠盐(以脱氢乙酸计)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6" w:type="dxa"/>
            <w:vMerge w:val="continue"/>
            <w:vAlign w:val="center"/>
          </w:tcPr>
          <w:p>
            <w:pPr>
              <w:widowControl/>
              <w:snapToGrid w:val="0"/>
              <w:spacing w:line="360" w:lineRule="exact"/>
              <w:jc w:val="center"/>
              <w:rPr>
                <w:rFonts w:hint="eastAsia" w:ascii="宋体" w:hAnsi="宋体" w:cs="宋体"/>
                <w:sz w:val="18"/>
                <w:szCs w:val="18"/>
                <w:lang w:val="en-US" w:eastAsia="zh-CN"/>
              </w:rPr>
            </w:pPr>
          </w:p>
        </w:tc>
        <w:tc>
          <w:tcPr>
            <w:tcW w:w="1073"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09"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果蔬汁类及其饮料</w:t>
            </w:r>
          </w:p>
        </w:tc>
        <w:tc>
          <w:tcPr>
            <w:tcW w:w="118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果蔬汁类及其饮料</w:t>
            </w:r>
          </w:p>
        </w:tc>
        <w:tc>
          <w:tcPr>
            <w:tcW w:w="416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GB 2760-2014《食品安全国家标准 食品添加剂使用标准》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GB 7101-2022《食品安全国家标准 饮料》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产品明示标准和质量要求</w:t>
            </w:r>
          </w:p>
        </w:tc>
        <w:tc>
          <w:tcPr>
            <w:tcW w:w="45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苯甲酸及其钠盐(以苯甲酸计)、大肠菌群、酵母、菌落总数、亮蓝、霉菌、柠檬黄、日落黄、山梨酸及其钾盐(以山梨酸计)、甜蜜素(以环己基氨基磺酸计)、脱氢乙酸及其钠盐(以脱氢乙酸计)、苋菜红、胭脂红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6" w:type="dxa"/>
            <w:vMerge w:val="continue"/>
            <w:vAlign w:val="center"/>
          </w:tcPr>
          <w:p>
            <w:pPr>
              <w:widowControl/>
              <w:snapToGrid w:val="0"/>
              <w:spacing w:line="360" w:lineRule="exact"/>
              <w:jc w:val="center"/>
              <w:rPr>
                <w:rFonts w:hint="eastAsia" w:ascii="宋体" w:hAnsi="宋体" w:cs="宋体"/>
                <w:sz w:val="18"/>
                <w:szCs w:val="18"/>
                <w:lang w:val="en-US" w:eastAsia="zh-CN"/>
              </w:rPr>
            </w:pPr>
          </w:p>
        </w:tc>
        <w:tc>
          <w:tcPr>
            <w:tcW w:w="1073"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09"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10" w:type="dxa"/>
            <w:vMerge w:val="restart"/>
            <w:shd w:val="clear" w:color="auto" w:fill="auto"/>
            <w:vAlign w:val="center"/>
          </w:tcPr>
          <w:p>
            <w:pPr>
              <w:jc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包装饮用水</w:t>
            </w:r>
          </w:p>
        </w:tc>
        <w:tc>
          <w:tcPr>
            <w:tcW w:w="118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饮用天然矿泉水</w:t>
            </w:r>
          </w:p>
        </w:tc>
        <w:tc>
          <w:tcPr>
            <w:tcW w:w="416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GB 2762-2022《食品安全国家标准 食品中污染物限量》</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GB 8537-2018《食品安全国家标准 饮用天然矿泉水》</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产品明示标准和质量要求</w:t>
            </w:r>
          </w:p>
        </w:tc>
        <w:tc>
          <w:tcPr>
            <w:tcW w:w="45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大肠菌群、镉(以Cd计)、界限指标-偏硅酸、镍、铅(以Pb计)、铜绿假单胞菌、硝酸盐(以NO₃⁻计)、溴酸盐、亚硝酸盐(以NO₂⁻计)、总汞(以Hg计)、总砷(以As计)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6" w:type="dxa"/>
            <w:vMerge w:val="continue"/>
            <w:vAlign w:val="center"/>
          </w:tcPr>
          <w:p>
            <w:pPr>
              <w:widowControl/>
              <w:snapToGrid w:val="0"/>
              <w:spacing w:line="360" w:lineRule="exact"/>
              <w:jc w:val="center"/>
              <w:rPr>
                <w:rFonts w:hint="eastAsia" w:ascii="宋体" w:hAnsi="宋体" w:cs="宋体"/>
                <w:sz w:val="18"/>
                <w:szCs w:val="18"/>
                <w:lang w:val="en-US" w:eastAsia="zh-CN"/>
              </w:rPr>
            </w:pPr>
          </w:p>
        </w:tc>
        <w:tc>
          <w:tcPr>
            <w:tcW w:w="1073"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09"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10" w:type="dxa"/>
            <w:vMerge w:val="continue"/>
            <w:shd w:val="clear" w:color="auto" w:fill="auto"/>
            <w:vAlign w:val="center"/>
          </w:tcPr>
          <w:p>
            <w:pPr>
              <w:jc w:val="center"/>
              <w:rPr>
                <w:rFonts w:hint="eastAsia" w:ascii="宋体" w:hAnsi="宋体" w:eastAsia="宋体" w:cs="宋体"/>
                <w:i w:val="0"/>
                <w:iCs w:val="0"/>
                <w:color w:val="000000"/>
                <w:kern w:val="0"/>
                <w:sz w:val="18"/>
                <w:szCs w:val="18"/>
                <w:highlight w:val="none"/>
                <w:u w:val="none"/>
                <w:lang w:val="en-US" w:eastAsia="zh-CN" w:bidi="ar"/>
              </w:rPr>
            </w:pPr>
          </w:p>
        </w:tc>
        <w:tc>
          <w:tcPr>
            <w:tcW w:w="118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饮用纯净水</w:t>
            </w:r>
          </w:p>
        </w:tc>
        <w:tc>
          <w:tcPr>
            <w:tcW w:w="416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GB 17323-1998《瓶装饮用纯净水》</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GB 19298-2014《食品安全国家标准 包装饮用水》</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GB 2762-2022《食品安全国家标准 食品中污染物限量》</w:t>
            </w:r>
          </w:p>
        </w:tc>
        <w:tc>
          <w:tcPr>
            <w:tcW w:w="45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大肠菌群、电导率、镉(以Cd计)、耗氧量(以O₂计)、铅(以Pb计)、三氯甲烷、铜绿假单胞菌、溴酸盐、亚硝酸盐(以NO₂⁻计)、余氯(游离氯)、总砷(以As计)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6" w:type="dxa"/>
            <w:vMerge w:val="continue"/>
            <w:vAlign w:val="center"/>
          </w:tcPr>
          <w:p>
            <w:pPr>
              <w:widowControl/>
              <w:snapToGrid w:val="0"/>
              <w:spacing w:line="360" w:lineRule="exact"/>
              <w:jc w:val="center"/>
              <w:rPr>
                <w:rFonts w:hint="eastAsia" w:ascii="宋体" w:hAnsi="宋体" w:cs="宋体"/>
                <w:sz w:val="18"/>
                <w:szCs w:val="18"/>
                <w:lang w:val="en-US" w:eastAsia="zh-CN"/>
              </w:rPr>
            </w:pPr>
          </w:p>
        </w:tc>
        <w:tc>
          <w:tcPr>
            <w:tcW w:w="1073"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09"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10" w:type="dxa"/>
            <w:vMerge w:val="continue"/>
            <w:shd w:val="clear" w:color="auto" w:fill="auto"/>
            <w:vAlign w:val="center"/>
          </w:tcPr>
          <w:p>
            <w:pPr>
              <w:jc w:val="center"/>
              <w:rPr>
                <w:rFonts w:hint="eastAsia" w:ascii="宋体" w:hAnsi="宋体" w:eastAsia="宋体" w:cs="宋体"/>
                <w:i w:val="0"/>
                <w:iCs w:val="0"/>
                <w:color w:val="000000"/>
                <w:kern w:val="0"/>
                <w:sz w:val="18"/>
                <w:szCs w:val="18"/>
                <w:highlight w:val="none"/>
                <w:u w:val="none"/>
                <w:lang w:val="en-US" w:eastAsia="zh-CN" w:bidi="ar"/>
              </w:rPr>
            </w:pPr>
          </w:p>
        </w:tc>
        <w:tc>
          <w:tcPr>
            <w:tcW w:w="118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其他类饮用水</w:t>
            </w:r>
          </w:p>
        </w:tc>
        <w:tc>
          <w:tcPr>
            <w:tcW w:w="416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GB 19298-2014《食品安全国家标准 包装饮用水》</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GB 2762-2022《食品安全国家标准 食品中污染物限量》</w:t>
            </w:r>
          </w:p>
        </w:tc>
        <w:tc>
          <w:tcPr>
            <w:tcW w:w="45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大肠菌群、镉(以Cd计)、耗氧量(以O₂计)、铅(以Pb计)、三氯甲烷、铜绿假单胞菌、溴酸盐、亚硝酸盐(以NO₂⁻计)、余氯(游离氯)、总砷(以As计)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6" w:type="dxa"/>
            <w:vMerge w:val="continue"/>
            <w:vAlign w:val="center"/>
          </w:tcPr>
          <w:p>
            <w:pPr>
              <w:widowControl/>
              <w:snapToGrid w:val="0"/>
              <w:spacing w:line="360" w:lineRule="exact"/>
              <w:jc w:val="center"/>
              <w:rPr>
                <w:rFonts w:hint="default" w:ascii="宋体" w:hAnsi="宋体" w:cs="宋体"/>
                <w:sz w:val="18"/>
                <w:szCs w:val="18"/>
                <w:lang w:val="en-US" w:eastAsia="zh-CN"/>
              </w:rPr>
            </w:pPr>
          </w:p>
        </w:tc>
        <w:tc>
          <w:tcPr>
            <w:tcW w:w="1073"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09"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蛋白饮料</w:t>
            </w:r>
          </w:p>
        </w:tc>
        <w:tc>
          <w:tcPr>
            <w:tcW w:w="118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蛋白饮料</w:t>
            </w:r>
          </w:p>
        </w:tc>
        <w:tc>
          <w:tcPr>
            <w:tcW w:w="4167" w:type="dxa"/>
            <w:vAlign w:val="center"/>
          </w:tcPr>
          <w:p>
            <w:pPr>
              <w:keepNext w:val="0"/>
              <w:keepLines w:val="0"/>
              <w:widowControl/>
              <w:suppressLineNumbers w:val="0"/>
              <w:jc w:val="left"/>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GB 2760-2014《食品安全国家标准 食品添加剂使用标准》</w:t>
            </w:r>
          </w:p>
          <w:p>
            <w:pPr>
              <w:keepNext w:val="0"/>
              <w:keepLines w:val="0"/>
              <w:widowControl/>
              <w:suppressLineNumbers w:val="0"/>
              <w:jc w:val="left"/>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GB 7101-2022《食品安全国家标准 饮料》</w:t>
            </w:r>
          </w:p>
          <w:p>
            <w:pPr>
              <w:keepNext w:val="0"/>
              <w:keepLines w:val="0"/>
              <w:widowControl/>
              <w:suppressLineNumbers w:val="0"/>
              <w:jc w:val="left"/>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GB/T 21732-2008《含乳饮料》</w:t>
            </w:r>
          </w:p>
          <w:p>
            <w:pPr>
              <w:keepNext w:val="0"/>
              <w:keepLines w:val="0"/>
              <w:widowControl/>
              <w:suppressLineNumbers w:val="0"/>
              <w:jc w:val="left"/>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卫生部、工业和信息化部、农业部、工商总局、质检总局公告2011年第10号《关于三聚氰胺在食品中的限量值的公告》</w:t>
            </w:r>
          </w:p>
        </w:tc>
        <w:tc>
          <w:tcPr>
            <w:tcW w:w="45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大肠菌群、蛋白质、菌落总数、三聚氰胺、脱氢乙酸及其钠盐(以脱氢乙酸计)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6" w:type="dxa"/>
            <w:vMerge w:val="restart"/>
            <w:vAlign w:val="center"/>
          </w:tcPr>
          <w:p>
            <w:pPr>
              <w:widowControl/>
              <w:snapToGrid w:val="0"/>
              <w:spacing w:line="360" w:lineRule="exact"/>
              <w:jc w:val="center"/>
              <w:rPr>
                <w:rFonts w:hint="default" w:ascii="宋体" w:hAnsi="宋体" w:cs="宋体"/>
                <w:sz w:val="18"/>
                <w:szCs w:val="18"/>
                <w:lang w:val="en-US" w:eastAsia="zh-CN"/>
              </w:rPr>
            </w:pPr>
            <w:r>
              <w:rPr>
                <w:rFonts w:hint="eastAsia" w:ascii="宋体" w:hAnsi="宋体" w:cs="宋体"/>
                <w:sz w:val="18"/>
                <w:szCs w:val="18"/>
                <w:lang w:val="en-US" w:eastAsia="zh-CN"/>
              </w:rPr>
              <w:t>9</w:t>
            </w:r>
          </w:p>
        </w:tc>
        <w:tc>
          <w:tcPr>
            <w:tcW w:w="107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餐饮食品</w:t>
            </w:r>
          </w:p>
        </w:tc>
        <w:tc>
          <w:tcPr>
            <w:tcW w:w="110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米面及其制品(自制)</w:t>
            </w:r>
          </w:p>
        </w:tc>
        <w:tc>
          <w:tcPr>
            <w:tcW w:w="1210" w:type="dxa"/>
            <w:vMerge w:val="restart"/>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小麦粉制品(自制)</w:t>
            </w:r>
          </w:p>
        </w:tc>
        <w:tc>
          <w:tcPr>
            <w:tcW w:w="1181" w:type="dxa"/>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包子(自制)</w:t>
            </w:r>
          </w:p>
        </w:tc>
        <w:tc>
          <w:tcPr>
            <w:tcW w:w="4167" w:type="dxa"/>
            <w:vAlign w:val="center"/>
          </w:tcPr>
          <w:p>
            <w:pPr>
              <w:keepNext w:val="0"/>
              <w:keepLines w:val="0"/>
              <w:widowControl/>
              <w:suppressLineNumbers w:val="0"/>
              <w:jc w:val="left"/>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GB 2760-2014《食品安全国家标准 食品添加剂使用标准》</w:t>
            </w:r>
          </w:p>
        </w:tc>
        <w:tc>
          <w:tcPr>
            <w:tcW w:w="45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苯甲酸及其钠盐(以苯甲酸计)、山梨酸及其钾盐(以山梨酸计)、糖精钠(以糖精计)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6" w:type="dxa"/>
            <w:vMerge w:val="continue"/>
            <w:vAlign w:val="center"/>
          </w:tcPr>
          <w:p>
            <w:pPr>
              <w:widowControl/>
              <w:snapToGrid w:val="0"/>
              <w:spacing w:line="360" w:lineRule="exact"/>
              <w:jc w:val="center"/>
              <w:rPr>
                <w:rFonts w:hint="default" w:ascii="宋体" w:hAnsi="宋体" w:cs="宋体"/>
                <w:sz w:val="18"/>
                <w:szCs w:val="18"/>
                <w:lang w:val="en-US" w:eastAsia="zh-CN"/>
              </w:rPr>
            </w:pPr>
          </w:p>
        </w:tc>
        <w:tc>
          <w:tcPr>
            <w:tcW w:w="1073"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09"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10" w:type="dxa"/>
            <w:vMerge w:val="continue"/>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p>
        </w:tc>
        <w:tc>
          <w:tcPr>
            <w:tcW w:w="1181" w:type="dxa"/>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油饼油条(自制)</w:t>
            </w:r>
          </w:p>
        </w:tc>
        <w:tc>
          <w:tcPr>
            <w:tcW w:w="4167" w:type="dxa"/>
            <w:vAlign w:val="center"/>
          </w:tcPr>
          <w:p>
            <w:pPr>
              <w:keepNext w:val="0"/>
              <w:keepLines w:val="0"/>
              <w:widowControl/>
              <w:suppressLineNumbers w:val="0"/>
              <w:jc w:val="left"/>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GB 2760-2014《食品安全国家标准 食品添加剂使用标准》</w:t>
            </w:r>
          </w:p>
        </w:tc>
        <w:tc>
          <w:tcPr>
            <w:tcW w:w="45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铝的残留量(干样品,以Al计)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6" w:type="dxa"/>
            <w:vMerge w:val="continue"/>
            <w:vAlign w:val="center"/>
          </w:tcPr>
          <w:p>
            <w:pPr>
              <w:widowControl/>
              <w:snapToGrid w:val="0"/>
              <w:spacing w:line="360" w:lineRule="exact"/>
              <w:jc w:val="center"/>
              <w:rPr>
                <w:rFonts w:hint="default" w:ascii="宋体" w:hAnsi="宋体" w:cs="宋体"/>
                <w:sz w:val="18"/>
                <w:szCs w:val="18"/>
                <w:lang w:val="en-US" w:eastAsia="zh-CN"/>
              </w:rPr>
            </w:pPr>
          </w:p>
        </w:tc>
        <w:tc>
          <w:tcPr>
            <w:tcW w:w="1073"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09"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10" w:type="dxa"/>
            <w:vMerge w:val="continue"/>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p>
        </w:tc>
        <w:tc>
          <w:tcPr>
            <w:tcW w:w="1181" w:type="dxa"/>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馒头花卷(自制)</w:t>
            </w:r>
          </w:p>
        </w:tc>
        <w:tc>
          <w:tcPr>
            <w:tcW w:w="4167" w:type="dxa"/>
            <w:vAlign w:val="center"/>
          </w:tcPr>
          <w:p>
            <w:pPr>
              <w:keepNext w:val="0"/>
              <w:keepLines w:val="0"/>
              <w:widowControl/>
              <w:suppressLineNumbers w:val="0"/>
              <w:jc w:val="left"/>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GB 2760-2014《食品安全国家标准 食品添加剂使用标准》</w:t>
            </w:r>
          </w:p>
        </w:tc>
        <w:tc>
          <w:tcPr>
            <w:tcW w:w="45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苯甲酸及其钠盐(以苯甲酸计)、山梨酸及其钾盐(以山梨酸计)、糖精钠(以糖精计)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6" w:type="dxa"/>
            <w:vMerge w:val="continue"/>
            <w:vAlign w:val="center"/>
          </w:tcPr>
          <w:p>
            <w:pPr>
              <w:widowControl/>
              <w:snapToGrid w:val="0"/>
              <w:spacing w:line="360" w:lineRule="exact"/>
              <w:jc w:val="center"/>
              <w:rPr>
                <w:rFonts w:hint="default" w:ascii="宋体" w:hAnsi="宋体" w:cs="宋体"/>
                <w:sz w:val="18"/>
                <w:szCs w:val="18"/>
                <w:lang w:val="en-US" w:eastAsia="zh-CN"/>
              </w:rPr>
            </w:pPr>
          </w:p>
        </w:tc>
        <w:tc>
          <w:tcPr>
            <w:tcW w:w="1073"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09"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肉制品(自制)</w:t>
            </w:r>
          </w:p>
        </w:tc>
        <w:tc>
          <w:tcPr>
            <w:tcW w:w="1210"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熟肉制品(自制)</w:t>
            </w:r>
          </w:p>
        </w:tc>
        <w:tc>
          <w:tcPr>
            <w:tcW w:w="1181"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酱卤肉制品(自制)</w:t>
            </w:r>
          </w:p>
        </w:tc>
        <w:tc>
          <w:tcPr>
            <w:tcW w:w="4167" w:type="dxa"/>
            <w:vAlign w:val="center"/>
          </w:tcPr>
          <w:p>
            <w:pPr>
              <w:keepNext w:val="0"/>
              <w:keepLines w:val="0"/>
              <w:widowControl/>
              <w:suppressLineNumbers w:val="0"/>
              <w:jc w:val="left"/>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整顿办函[2011]1号《食品中可能违法添加的非食用物质和易滥用的食品添加剂品种名单(第五批)》</w:t>
            </w:r>
          </w:p>
        </w:tc>
        <w:tc>
          <w:tcPr>
            <w:tcW w:w="4510" w:type="dxa"/>
            <w:vAlign w:val="center"/>
          </w:tcPr>
          <w:p>
            <w:pPr>
              <w:keepNext w:val="0"/>
              <w:keepLines w:val="0"/>
              <w:widowControl/>
              <w:suppressLineNumbers w:val="0"/>
              <w:jc w:val="left"/>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罂粟碱、那可丁、吗啡、可待因、蒂巴因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6" w:type="dxa"/>
            <w:vMerge w:val="continue"/>
            <w:vAlign w:val="center"/>
          </w:tcPr>
          <w:p>
            <w:pPr>
              <w:widowControl/>
              <w:snapToGrid w:val="0"/>
              <w:spacing w:line="360" w:lineRule="exact"/>
              <w:jc w:val="center"/>
              <w:rPr>
                <w:rFonts w:hint="default" w:ascii="宋体" w:hAnsi="宋体" w:cs="宋体"/>
                <w:sz w:val="18"/>
                <w:szCs w:val="18"/>
                <w:lang w:val="en-US" w:eastAsia="zh-CN"/>
              </w:rPr>
            </w:pPr>
          </w:p>
        </w:tc>
        <w:tc>
          <w:tcPr>
            <w:tcW w:w="1073"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09"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其他餐饮食品</w:t>
            </w:r>
          </w:p>
        </w:tc>
        <w:tc>
          <w:tcPr>
            <w:tcW w:w="1210"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热菜类(自制)</w:t>
            </w:r>
          </w:p>
        </w:tc>
        <w:tc>
          <w:tcPr>
            <w:tcW w:w="1181"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热菜类(自制)</w:t>
            </w:r>
          </w:p>
        </w:tc>
        <w:tc>
          <w:tcPr>
            <w:tcW w:w="4167" w:type="dxa"/>
            <w:vAlign w:val="center"/>
          </w:tcPr>
          <w:p>
            <w:pPr>
              <w:keepNext w:val="0"/>
              <w:keepLines w:val="0"/>
              <w:widowControl/>
              <w:suppressLineNumbers w:val="0"/>
              <w:jc w:val="left"/>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整顿办函[2011]1号《食品中可能违法添加的非食用物质和易滥用的食品添加剂品种名单(第五批)》</w:t>
            </w:r>
          </w:p>
        </w:tc>
        <w:tc>
          <w:tcPr>
            <w:tcW w:w="4510" w:type="dxa"/>
            <w:vAlign w:val="center"/>
          </w:tcPr>
          <w:p>
            <w:pPr>
              <w:keepNext w:val="0"/>
              <w:keepLines w:val="0"/>
              <w:widowControl/>
              <w:suppressLineNumbers w:val="0"/>
              <w:jc w:val="left"/>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罂粟碱、那可丁、吗啡、可待因、蒂巴因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6" w:type="dxa"/>
            <w:vMerge w:val="continue"/>
            <w:vAlign w:val="center"/>
          </w:tcPr>
          <w:p>
            <w:pPr>
              <w:widowControl/>
              <w:snapToGrid w:val="0"/>
              <w:spacing w:line="360" w:lineRule="exact"/>
              <w:jc w:val="center"/>
              <w:rPr>
                <w:rFonts w:hint="default" w:ascii="宋体" w:hAnsi="宋体" w:cs="宋体"/>
                <w:sz w:val="18"/>
                <w:szCs w:val="18"/>
                <w:lang w:val="en-US" w:eastAsia="zh-CN"/>
              </w:rPr>
            </w:pPr>
          </w:p>
        </w:tc>
        <w:tc>
          <w:tcPr>
            <w:tcW w:w="1073"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0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食用油、油脂及其制品(自制)</w:t>
            </w:r>
          </w:p>
        </w:tc>
        <w:tc>
          <w:tcPr>
            <w:tcW w:w="1210" w:type="dxa"/>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食用油、油脂及其制品(自制)</w:t>
            </w:r>
          </w:p>
        </w:tc>
        <w:tc>
          <w:tcPr>
            <w:tcW w:w="1181" w:type="dxa"/>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煎炸过程用油</w:t>
            </w:r>
          </w:p>
        </w:tc>
        <w:tc>
          <w:tcPr>
            <w:tcW w:w="4167" w:type="dxa"/>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sz w:val="20"/>
                <w:szCs w:val="20"/>
              </w:rPr>
              <w:t>GB 2716-2018《食品安全国家标准 植物油》</w:t>
            </w:r>
          </w:p>
          <w:p>
            <w:pPr>
              <w:widowControl/>
              <w:jc w:val="left"/>
              <w:textAlignment w:val="center"/>
              <w:rPr>
                <w:rFonts w:hint="eastAsia" w:ascii="宋体" w:hAnsi="宋体" w:eastAsia="宋体" w:cs="宋体"/>
                <w:color w:val="000000"/>
                <w:sz w:val="18"/>
                <w:szCs w:val="18"/>
                <w:highlight w:val="none"/>
                <w:lang w:val="en-US" w:eastAsia="zh-CN"/>
              </w:rPr>
            </w:pPr>
            <w:r>
              <w:rPr>
                <w:rFonts w:hint="eastAsia" w:ascii="宋体" w:hAnsi="宋体" w:cs="宋体"/>
                <w:color w:val="auto"/>
                <w:sz w:val="20"/>
                <w:szCs w:val="20"/>
              </w:rPr>
              <w:t>GB 2762-2022《食品安全国家标准 食品中污染物限量》</w:t>
            </w:r>
          </w:p>
        </w:tc>
        <w:tc>
          <w:tcPr>
            <w:tcW w:w="4510" w:type="dxa"/>
            <w:vAlign w:val="center"/>
          </w:tcPr>
          <w:p>
            <w:pPr>
              <w:widowControl/>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color w:val="auto"/>
                <w:sz w:val="20"/>
                <w:szCs w:val="20"/>
              </w:rPr>
              <w:t>酸价(KOH)</w:t>
            </w:r>
            <w:r>
              <w:rPr>
                <w:rFonts w:hint="eastAsia" w:ascii="宋体" w:hAnsi="宋体" w:cs="宋体"/>
                <w:color w:val="auto"/>
                <w:sz w:val="20"/>
                <w:szCs w:val="20"/>
                <w:lang w:eastAsia="zh-CN"/>
              </w:rPr>
              <w:t>、</w:t>
            </w:r>
            <w:r>
              <w:rPr>
                <w:rFonts w:hint="eastAsia" w:ascii="宋体" w:hAnsi="宋体" w:cs="宋体"/>
                <w:color w:val="auto"/>
                <w:sz w:val="20"/>
                <w:szCs w:val="20"/>
              </w:rPr>
              <w:t>极性组分</w:t>
            </w:r>
            <w:r>
              <w:rPr>
                <w:rFonts w:hint="eastAsia" w:ascii="宋体" w:hAnsi="宋体" w:cs="宋体"/>
                <w:color w:val="auto"/>
                <w:sz w:val="20"/>
                <w:szCs w:val="20"/>
                <w:lang w:eastAsia="zh-CN"/>
              </w:rPr>
              <w:t>、</w:t>
            </w:r>
            <w:r>
              <w:rPr>
                <w:rFonts w:hint="eastAsia" w:ascii="宋体" w:hAnsi="宋体" w:cs="宋体"/>
                <w:color w:val="auto"/>
                <w:sz w:val="20"/>
                <w:szCs w:val="20"/>
              </w:rPr>
              <w:t>苯并[a]芘</w:t>
            </w:r>
            <w:r>
              <w:rPr>
                <w:rFonts w:hint="eastAsia" w:ascii="宋体" w:hAnsi="宋体" w:cs="宋体"/>
                <w:color w:val="auto"/>
                <w:sz w:val="20"/>
                <w:szCs w:val="20"/>
                <w:lang w:eastAsia="zh-CN"/>
              </w:rPr>
              <w:t>、</w:t>
            </w:r>
            <w:r>
              <w:rPr>
                <w:rFonts w:hint="eastAsia" w:ascii="宋体" w:hAnsi="宋体" w:cs="宋体"/>
                <w:color w:val="auto"/>
                <w:sz w:val="20"/>
                <w:szCs w:val="20"/>
              </w:rPr>
              <w:t>铅(以Pb计)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6" w:type="dxa"/>
            <w:vMerge w:val="continue"/>
            <w:vAlign w:val="center"/>
          </w:tcPr>
          <w:p>
            <w:pPr>
              <w:widowControl/>
              <w:snapToGrid w:val="0"/>
              <w:spacing w:line="360" w:lineRule="exact"/>
              <w:jc w:val="center"/>
              <w:rPr>
                <w:rFonts w:hint="default" w:ascii="宋体" w:hAnsi="宋体" w:cs="宋体"/>
                <w:sz w:val="18"/>
                <w:szCs w:val="18"/>
                <w:lang w:val="en-US" w:eastAsia="zh-CN"/>
              </w:rPr>
            </w:pPr>
          </w:p>
        </w:tc>
        <w:tc>
          <w:tcPr>
            <w:tcW w:w="1073"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0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color w:val="auto"/>
                <w:sz w:val="20"/>
                <w:szCs w:val="20"/>
                <w:lang w:val="en-US" w:eastAsia="zh-CN"/>
              </w:rPr>
              <w:t>餐饮具</w:t>
            </w:r>
          </w:p>
        </w:tc>
        <w:tc>
          <w:tcPr>
            <w:tcW w:w="12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color w:val="auto"/>
                <w:sz w:val="20"/>
                <w:szCs w:val="20"/>
                <w:lang w:val="en-US" w:eastAsia="zh-CN"/>
              </w:rPr>
              <w:t>复用餐饮具</w:t>
            </w:r>
          </w:p>
        </w:tc>
        <w:tc>
          <w:tcPr>
            <w:tcW w:w="118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color w:val="auto"/>
                <w:sz w:val="20"/>
                <w:szCs w:val="20"/>
                <w:lang w:val="en-US" w:eastAsia="zh-CN"/>
              </w:rPr>
              <w:t>复用餐饮具(餐馆自行消毒)</w:t>
            </w:r>
          </w:p>
        </w:tc>
        <w:tc>
          <w:tcPr>
            <w:tcW w:w="4167" w:type="dxa"/>
            <w:vAlign w:val="center"/>
          </w:tcPr>
          <w:p>
            <w:pPr>
              <w:widowControl/>
              <w:snapToGrid w:val="0"/>
              <w:spacing w:line="360" w:lineRule="exact"/>
              <w:jc w:val="left"/>
              <w:textAlignment w:val="center"/>
              <w:rPr>
                <w:rFonts w:hint="eastAsia" w:ascii="宋体" w:hAnsi="宋体" w:cs="宋体"/>
                <w:color w:val="auto"/>
                <w:sz w:val="20"/>
                <w:szCs w:val="20"/>
              </w:rPr>
            </w:pPr>
            <w:r>
              <w:rPr>
                <w:rFonts w:hint="eastAsia" w:ascii="宋体" w:hAnsi="宋体" w:cs="宋体"/>
                <w:b w:val="0"/>
                <w:bCs w:val="0"/>
                <w:color w:val="000000"/>
                <w:kern w:val="0"/>
                <w:sz w:val="18"/>
                <w:szCs w:val="18"/>
                <w:highlight w:val="none"/>
                <w:lang w:val="en-US" w:eastAsia="zh-CN"/>
              </w:rPr>
              <w:t>GB 14934-2016《食品安全国家标准 消毒餐(饮)具》</w:t>
            </w:r>
          </w:p>
        </w:tc>
        <w:tc>
          <w:tcPr>
            <w:tcW w:w="4510" w:type="dxa"/>
            <w:vAlign w:val="center"/>
          </w:tcPr>
          <w:p>
            <w:pPr>
              <w:widowControl/>
              <w:snapToGrid w:val="0"/>
              <w:spacing w:line="360" w:lineRule="exact"/>
              <w:jc w:val="left"/>
              <w:textAlignment w:val="center"/>
              <w:rPr>
                <w:rFonts w:hint="eastAsia" w:ascii="宋体" w:hAnsi="宋体" w:cs="宋体"/>
                <w:color w:val="auto"/>
                <w:sz w:val="20"/>
                <w:szCs w:val="20"/>
              </w:rPr>
            </w:pPr>
            <w:r>
              <w:rPr>
                <w:rFonts w:hint="eastAsia" w:ascii="宋体" w:hAnsi="宋体" w:cs="宋体"/>
                <w:b w:val="0"/>
                <w:bCs w:val="0"/>
                <w:color w:val="000000"/>
                <w:kern w:val="0"/>
                <w:sz w:val="18"/>
                <w:szCs w:val="18"/>
                <w:highlight w:val="none"/>
                <w:lang w:val="en-US" w:eastAsia="zh-CN"/>
              </w:rPr>
              <w:t>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6" w:type="dxa"/>
            <w:vMerge w:val="continue"/>
            <w:vAlign w:val="center"/>
          </w:tcPr>
          <w:p>
            <w:pPr>
              <w:widowControl/>
              <w:snapToGrid w:val="0"/>
              <w:spacing w:line="360" w:lineRule="exact"/>
              <w:jc w:val="center"/>
              <w:rPr>
                <w:rFonts w:hint="default" w:ascii="宋体" w:hAnsi="宋体" w:cs="宋体"/>
                <w:sz w:val="18"/>
                <w:szCs w:val="18"/>
                <w:lang w:val="en-US" w:eastAsia="zh-CN"/>
              </w:rPr>
            </w:pPr>
          </w:p>
        </w:tc>
        <w:tc>
          <w:tcPr>
            <w:tcW w:w="1073"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0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饮料(自制)</w:t>
            </w:r>
          </w:p>
        </w:tc>
        <w:tc>
          <w:tcPr>
            <w:tcW w:w="1210" w:type="dxa"/>
            <w:vMerge w:val="restart"/>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饮料(自制)</w:t>
            </w:r>
          </w:p>
        </w:tc>
        <w:tc>
          <w:tcPr>
            <w:tcW w:w="1181" w:type="dxa"/>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奶茶(自制)</w:t>
            </w:r>
          </w:p>
        </w:tc>
        <w:tc>
          <w:tcPr>
            <w:tcW w:w="4167" w:type="dxa"/>
            <w:vAlign w:val="center"/>
          </w:tcPr>
          <w:p>
            <w:pPr>
              <w:keepNext w:val="0"/>
              <w:keepLines w:val="0"/>
              <w:widowControl/>
              <w:suppressLineNumbers w:val="0"/>
              <w:jc w:val="left"/>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GB 2760-2014《食品安全国家标准 食品添加剂使用标准》</w:t>
            </w:r>
          </w:p>
        </w:tc>
        <w:tc>
          <w:tcPr>
            <w:tcW w:w="45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苯甲酸及其钠盐(以苯甲酸计)、山梨酸及其钾盐(以山梨酸计)、糖精钠(以糖精计)、甜蜜素(以环己基氨基磺酸计)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6" w:type="dxa"/>
            <w:vMerge w:val="continue"/>
            <w:vAlign w:val="center"/>
          </w:tcPr>
          <w:p>
            <w:pPr>
              <w:widowControl/>
              <w:snapToGrid w:val="0"/>
              <w:spacing w:line="360" w:lineRule="exact"/>
              <w:jc w:val="center"/>
              <w:rPr>
                <w:rFonts w:hint="default" w:ascii="宋体" w:hAnsi="宋体" w:cs="宋体"/>
                <w:sz w:val="18"/>
                <w:szCs w:val="18"/>
                <w:lang w:val="en-US" w:eastAsia="zh-CN"/>
              </w:rPr>
            </w:pPr>
          </w:p>
        </w:tc>
        <w:tc>
          <w:tcPr>
            <w:tcW w:w="1073"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09"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10" w:type="dxa"/>
            <w:vMerge w:val="continue"/>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p>
        </w:tc>
        <w:tc>
          <w:tcPr>
            <w:tcW w:w="1181" w:type="dxa"/>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其他饮料(自制)</w:t>
            </w:r>
          </w:p>
        </w:tc>
        <w:tc>
          <w:tcPr>
            <w:tcW w:w="4167" w:type="dxa"/>
            <w:vAlign w:val="center"/>
          </w:tcPr>
          <w:p>
            <w:pPr>
              <w:keepNext w:val="0"/>
              <w:keepLines w:val="0"/>
              <w:widowControl/>
              <w:suppressLineNumbers w:val="0"/>
              <w:jc w:val="left"/>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GB 2760-2014《食品安全国家标准 食品添加剂使用标准》</w:t>
            </w:r>
          </w:p>
        </w:tc>
        <w:tc>
          <w:tcPr>
            <w:tcW w:w="45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苯甲酸及其钠盐(以苯甲酸计)、山梨酸及其钾盐(以山梨酸计)、糖精钠(以糖精计)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6" w:type="dxa"/>
            <w:vAlign w:val="center"/>
          </w:tcPr>
          <w:p>
            <w:pPr>
              <w:widowControl/>
              <w:snapToGrid w:val="0"/>
              <w:spacing w:line="360" w:lineRule="exact"/>
              <w:jc w:val="center"/>
              <w:rPr>
                <w:rFonts w:hint="default" w:ascii="宋体" w:hAnsi="宋体" w:cs="宋体"/>
                <w:sz w:val="18"/>
                <w:szCs w:val="18"/>
                <w:lang w:val="en-US" w:eastAsia="zh-CN"/>
              </w:rPr>
            </w:pPr>
            <w:r>
              <w:rPr>
                <w:rFonts w:hint="eastAsia" w:ascii="宋体" w:hAnsi="宋体" w:cs="宋体"/>
                <w:sz w:val="20"/>
                <w:szCs w:val="20"/>
                <w:lang w:val="en-US" w:eastAsia="zh-CN"/>
              </w:rPr>
              <w:t>10</w:t>
            </w:r>
          </w:p>
        </w:tc>
        <w:tc>
          <w:tcPr>
            <w:tcW w:w="107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粮食加工品</w:t>
            </w:r>
          </w:p>
        </w:tc>
        <w:tc>
          <w:tcPr>
            <w:tcW w:w="110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其他粮食加工品</w:t>
            </w:r>
          </w:p>
        </w:tc>
        <w:tc>
          <w:tcPr>
            <w:tcW w:w="1210" w:type="dxa"/>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谷物粉类制成品</w:t>
            </w:r>
          </w:p>
        </w:tc>
        <w:tc>
          <w:tcPr>
            <w:tcW w:w="1181" w:type="dxa"/>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米粉制品</w:t>
            </w:r>
          </w:p>
        </w:tc>
        <w:tc>
          <w:tcPr>
            <w:tcW w:w="4167" w:type="dxa"/>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sz w:val="20"/>
                <w:szCs w:val="20"/>
              </w:rPr>
              <w:t>GB 2760-2014《食品安全国家标准 食品添加剂使用标准》</w:t>
            </w:r>
          </w:p>
          <w:p>
            <w:pPr>
              <w:widowControl/>
              <w:jc w:val="left"/>
              <w:textAlignment w:val="center"/>
              <w:rPr>
                <w:rFonts w:hint="eastAsia" w:ascii="宋体" w:hAnsi="宋体" w:cs="宋体"/>
                <w:color w:val="auto"/>
                <w:sz w:val="20"/>
                <w:szCs w:val="20"/>
              </w:rPr>
            </w:pPr>
            <w:r>
              <w:rPr>
                <w:rFonts w:hint="eastAsia" w:ascii="宋体" w:hAnsi="宋体" w:cs="宋体"/>
                <w:color w:val="auto"/>
                <w:sz w:val="20"/>
                <w:szCs w:val="20"/>
              </w:rPr>
              <w:t>GB 2762-2022《食品安全国家标准 食品中污染物限量》</w:t>
            </w:r>
          </w:p>
          <w:p>
            <w:pPr>
              <w:widowControl/>
              <w:jc w:val="left"/>
              <w:textAlignment w:val="center"/>
              <w:rPr>
                <w:rFonts w:hint="eastAsia" w:ascii="宋体" w:hAnsi="宋体" w:eastAsia="宋体" w:cs="宋体"/>
                <w:color w:val="000000"/>
                <w:sz w:val="18"/>
                <w:szCs w:val="18"/>
                <w:highlight w:val="none"/>
                <w:lang w:val="en-US" w:eastAsia="zh-CN"/>
              </w:rPr>
            </w:pPr>
            <w:r>
              <w:rPr>
                <w:rFonts w:hint="eastAsia" w:ascii="宋体" w:hAnsi="宋体" w:cs="宋体"/>
                <w:color w:val="auto"/>
                <w:sz w:val="20"/>
                <w:szCs w:val="20"/>
              </w:rPr>
              <w:t>产品明示标准和质量要求</w:t>
            </w:r>
          </w:p>
        </w:tc>
        <w:tc>
          <w:tcPr>
            <w:tcW w:w="4510" w:type="dxa"/>
            <w:vAlign w:val="center"/>
          </w:tcPr>
          <w:p>
            <w:pPr>
              <w:widowControl/>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color w:val="auto"/>
                <w:sz w:val="20"/>
                <w:szCs w:val="20"/>
              </w:rPr>
              <w:t>水分</w:t>
            </w:r>
            <w:r>
              <w:rPr>
                <w:rFonts w:hint="eastAsia" w:ascii="宋体" w:hAnsi="宋体" w:cs="宋体"/>
                <w:color w:val="auto"/>
                <w:sz w:val="20"/>
                <w:szCs w:val="20"/>
                <w:lang w:eastAsia="zh-CN"/>
              </w:rPr>
              <w:t>、</w:t>
            </w:r>
            <w:r>
              <w:rPr>
                <w:rFonts w:hint="eastAsia" w:ascii="宋体" w:hAnsi="宋体" w:cs="宋体"/>
                <w:color w:val="auto"/>
                <w:sz w:val="20"/>
                <w:szCs w:val="20"/>
              </w:rPr>
              <w:t>铅(以Pb计)</w:t>
            </w:r>
            <w:r>
              <w:rPr>
                <w:rFonts w:hint="eastAsia" w:ascii="宋体" w:hAnsi="宋体" w:cs="宋体"/>
                <w:color w:val="auto"/>
                <w:sz w:val="20"/>
                <w:szCs w:val="20"/>
                <w:lang w:eastAsia="zh-CN"/>
              </w:rPr>
              <w:t>、</w:t>
            </w:r>
            <w:r>
              <w:rPr>
                <w:rFonts w:hint="eastAsia" w:ascii="宋体" w:hAnsi="宋体" w:cs="宋体"/>
                <w:color w:val="auto"/>
                <w:sz w:val="20"/>
                <w:szCs w:val="20"/>
              </w:rPr>
              <w:t>苯甲酸及其钠盐(以苯甲酸计)</w:t>
            </w:r>
            <w:r>
              <w:rPr>
                <w:rFonts w:hint="eastAsia" w:ascii="宋体" w:hAnsi="宋体" w:cs="宋体"/>
                <w:color w:val="auto"/>
                <w:sz w:val="20"/>
                <w:szCs w:val="20"/>
                <w:lang w:eastAsia="zh-CN"/>
              </w:rPr>
              <w:t>、</w:t>
            </w:r>
            <w:r>
              <w:rPr>
                <w:rFonts w:hint="eastAsia" w:ascii="宋体" w:hAnsi="宋体" w:cs="宋体"/>
                <w:color w:val="auto"/>
                <w:sz w:val="20"/>
                <w:szCs w:val="20"/>
              </w:rPr>
              <w:t>山梨酸及其钾盐(以山梨酸计)</w:t>
            </w:r>
            <w:r>
              <w:rPr>
                <w:rFonts w:hint="eastAsia" w:ascii="宋体" w:hAnsi="宋体" w:cs="宋体"/>
                <w:color w:val="auto"/>
                <w:sz w:val="20"/>
                <w:szCs w:val="20"/>
                <w:lang w:eastAsia="zh-CN"/>
              </w:rPr>
              <w:t>、</w:t>
            </w:r>
            <w:r>
              <w:rPr>
                <w:rFonts w:hint="eastAsia" w:ascii="宋体" w:hAnsi="宋体" w:cs="宋体"/>
                <w:color w:val="auto"/>
                <w:sz w:val="20"/>
                <w:szCs w:val="20"/>
              </w:rPr>
              <w:t>脱氢乙酸及其钠盐(以脱氢乙酸计)</w:t>
            </w:r>
            <w:r>
              <w:rPr>
                <w:rFonts w:hint="eastAsia" w:ascii="宋体" w:hAnsi="宋体" w:cs="宋体"/>
                <w:color w:val="auto"/>
                <w:sz w:val="20"/>
                <w:szCs w:val="20"/>
                <w:lang w:eastAsia="zh-CN"/>
              </w:rPr>
              <w:t>、</w:t>
            </w:r>
            <w:r>
              <w:rPr>
                <w:rFonts w:hint="eastAsia" w:ascii="宋体" w:hAnsi="宋体" w:cs="宋体"/>
                <w:color w:val="auto"/>
                <w:sz w:val="20"/>
                <w:szCs w:val="20"/>
              </w:rPr>
              <w:t>二氧化硫残留量</w:t>
            </w:r>
            <w:r>
              <w:rPr>
                <w:rFonts w:hint="eastAsia" w:ascii="宋体" w:hAnsi="宋体" w:cs="宋体"/>
                <w:color w:val="auto"/>
                <w:sz w:val="20"/>
                <w:szCs w:val="20"/>
                <w:lang w:eastAsia="zh-CN"/>
              </w:rPr>
              <w:t>、</w:t>
            </w:r>
            <w:r>
              <w:rPr>
                <w:rFonts w:hint="eastAsia" w:ascii="宋体" w:hAnsi="宋体" w:cs="宋体"/>
                <w:color w:val="auto"/>
                <w:sz w:val="20"/>
                <w:szCs w:val="20"/>
              </w:rPr>
              <w:t>蛋白质(以干基计)</w:t>
            </w:r>
            <w:r>
              <w:rPr>
                <w:rFonts w:hint="eastAsia" w:ascii="宋体" w:hAnsi="宋体" w:cs="宋体"/>
                <w:color w:val="auto"/>
                <w:sz w:val="20"/>
                <w:szCs w:val="20"/>
                <w:lang w:eastAsia="zh-CN"/>
              </w:rPr>
              <w:t>、</w:t>
            </w:r>
            <w:r>
              <w:rPr>
                <w:rFonts w:hint="eastAsia" w:ascii="宋体" w:hAnsi="宋体" w:cs="宋体"/>
                <w:b w:val="0"/>
                <w:bCs w:val="0"/>
                <w:color w:val="000000"/>
                <w:kern w:val="0"/>
                <w:sz w:val="18"/>
                <w:szCs w:val="18"/>
                <w:highlight w:val="none"/>
                <w:lang w:val="en-US" w:eastAsia="zh-CN"/>
              </w:rPr>
              <w:t>▲米酵菌酸（风险监测）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6" w:type="dxa"/>
            <w:vAlign w:val="center"/>
          </w:tcPr>
          <w:p>
            <w:pPr>
              <w:widowControl/>
              <w:snapToGrid w:val="0"/>
              <w:spacing w:line="360" w:lineRule="exact"/>
              <w:jc w:val="center"/>
              <w:rPr>
                <w:rFonts w:hint="default" w:ascii="宋体" w:hAnsi="宋体" w:cs="宋体"/>
                <w:sz w:val="20"/>
                <w:szCs w:val="20"/>
                <w:lang w:val="en-US" w:eastAsia="zh-CN"/>
              </w:rPr>
            </w:pPr>
            <w:r>
              <w:rPr>
                <w:rFonts w:hint="eastAsia" w:ascii="宋体" w:hAnsi="宋体" w:cs="宋体"/>
                <w:sz w:val="20"/>
                <w:szCs w:val="20"/>
                <w:lang w:val="en-US" w:eastAsia="zh-CN"/>
              </w:rPr>
              <w:t>11</w:t>
            </w:r>
          </w:p>
        </w:tc>
        <w:tc>
          <w:tcPr>
            <w:tcW w:w="107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其他食品</w:t>
            </w:r>
          </w:p>
        </w:tc>
        <w:tc>
          <w:tcPr>
            <w:tcW w:w="110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其他食品</w:t>
            </w:r>
          </w:p>
        </w:tc>
        <w:tc>
          <w:tcPr>
            <w:tcW w:w="12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其他食品</w:t>
            </w:r>
          </w:p>
        </w:tc>
        <w:tc>
          <w:tcPr>
            <w:tcW w:w="118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其他类食品</w:t>
            </w:r>
          </w:p>
        </w:tc>
        <w:tc>
          <w:tcPr>
            <w:tcW w:w="4167" w:type="dxa"/>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sz w:val="20"/>
                <w:szCs w:val="20"/>
              </w:rPr>
              <w:t>GB 2760-2014《食品安全国家标准 食品添加剂使用标准》</w:t>
            </w:r>
          </w:p>
        </w:tc>
        <w:tc>
          <w:tcPr>
            <w:tcW w:w="4510" w:type="dxa"/>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sz w:val="20"/>
                <w:szCs w:val="20"/>
              </w:rPr>
              <w:t>脱氢乙酸及其钠盐(以脱氢乙酸计)</w:t>
            </w:r>
            <w:r>
              <w:rPr>
                <w:rFonts w:hint="eastAsia" w:ascii="宋体" w:hAnsi="宋体" w:cs="宋体"/>
                <w:color w:val="auto"/>
                <w:sz w:val="20"/>
                <w:szCs w:val="20"/>
                <w:lang w:eastAsia="zh-CN"/>
              </w:rPr>
              <w:t>、</w:t>
            </w:r>
            <w:r>
              <w:rPr>
                <w:rFonts w:hint="eastAsia" w:ascii="宋体" w:hAnsi="宋体" w:cs="宋体"/>
                <w:color w:val="auto"/>
                <w:sz w:val="20"/>
                <w:szCs w:val="20"/>
              </w:rPr>
              <w:t>苯甲酸及其钠盐(以苯甲酸计)</w:t>
            </w:r>
            <w:r>
              <w:rPr>
                <w:rFonts w:hint="eastAsia" w:ascii="宋体" w:hAnsi="宋体" w:cs="宋体"/>
                <w:color w:val="auto"/>
                <w:sz w:val="20"/>
                <w:szCs w:val="20"/>
                <w:lang w:eastAsia="zh-CN"/>
              </w:rPr>
              <w:t>、</w:t>
            </w:r>
            <w:r>
              <w:rPr>
                <w:rFonts w:hint="eastAsia" w:ascii="宋体" w:hAnsi="宋体" w:cs="宋体"/>
                <w:color w:val="auto"/>
                <w:sz w:val="20"/>
                <w:szCs w:val="20"/>
              </w:rPr>
              <w:t>山梨酸及其钾盐(以山梨酸计)</w:t>
            </w:r>
            <w:r>
              <w:rPr>
                <w:rFonts w:hint="eastAsia" w:ascii="宋体" w:hAnsi="宋体" w:cs="宋体"/>
                <w:color w:val="auto"/>
                <w:sz w:val="20"/>
                <w:szCs w:val="20"/>
                <w:lang w:eastAsia="zh-CN"/>
              </w:rPr>
              <w:t>、</w:t>
            </w:r>
            <w:r>
              <w:rPr>
                <w:rFonts w:hint="eastAsia" w:ascii="宋体" w:hAnsi="宋体" w:cs="宋体"/>
                <w:color w:val="auto"/>
                <w:sz w:val="20"/>
                <w:szCs w:val="20"/>
              </w:rPr>
              <w:t>糖精钠(以糖精计)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6" w:type="dxa"/>
            <w:vAlign w:val="center"/>
          </w:tcPr>
          <w:p>
            <w:pPr>
              <w:widowControl/>
              <w:snapToGrid w:val="0"/>
              <w:spacing w:line="360" w:lineRule="exact"/>
              <w:jc w:val="center"/>
              <w:textAlignment w:val="center"/>
              <w:rPr>
                <w:rFonts w:hint="default" w:ascii="宋体" w:hAnsi="宋体" w:cs="宋体"/>
                <w:sz w:val="20"/>
                <w:szCs w:val="20"/>
                <w:lang w:val="en-US" w:eastAsia="zh-CN"/>
              </w:rPr>
            </w:pPr>
            <w:r>
              <w:rPr>
                <w:rFonts w:hint="eastAsia" w:ascii="宋体" w:hAnsi="宋体" w:cs="宋体"/>
                <w:b w:val="0"/>
                <w:bCs w:val="0"/>
                <w:color w:val="000000"/>
                <w:kern w:val="0"/>
                <w:sz w:val="18"/>
                <w:szCs w:val="18"/>
                <w:highlight w:val="none"/>
                <w:lang w:val="en-US" w:eastAsia="zh-CN"/>
              </w:rPr>
              <w:t>12</w:t>
            </w:r>
          </w:p>
        </w:tc>
        <w:tc>
          <w:tcPr>
            <w:tcW w:w="107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iCs w:val="0"/>
                <w:color w:val="000000"/>
                <w:kern w:val="0"/>
                <w:sz w:val="18"/>
                <w:szCs w:val="18"/>
                <w:u w:val="none"/>
                <w:lang w:val="en-US" w:eastAsia="zh-CN" w:bidi="ar"/>
              </w:rPr>
              <w:t>保健食品</w:t>
            </w:r>
          </w:p>
        </w:tc>
        <w:tc>
          <w:tcPr>
            <w:tcW w:w="110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iCs w:val="0"/>
                <w:color w:val="000000"/>
                <w:kern w:val="0"/>
                <w:sz w:val="18"/>
                <w:szCs w:val="18"/>
                <w:u w:val="none"/>
                <w:lang w:val="en-US" w:eastAsia="zh-CN" w:bidi="ar"/>
              </w:rPr>
              <w:t>保健食品</w:t>
            </w:r>
          </w:p>
        </w:tc>
        <w:tc>
          <w:tcPr>
            <w:tcW w:w="12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iCs w:val="0"/>
                <w:color w:val="000000"/>
                <w:kern w:val="0"/>
                <w:sz w:val="18"/>
                <w:szCs w:val="18"/>
                <w:u w:val="none"/>
                <w:lang w:val="en-US" w:eastAsia="zh-CN" w:bidi="ar"/>
              </w:rPr>
              <w:t>保健食品</w:t>
            </w:r>
          </w:p>
        </w:tc>
        <w:tc>
          <w:tcPr>
            <w:tcW w:w="118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iCs w:val="0"/>
                <w:color w:val="000000"/>
                <w:kern w:val="0"/>
                <w:sz w:val="18"/>
                <w:szCs w:val="18"/>
                <w:u w:val="none"/>
                <w:lang w:val="en-US" w:eastAsia="zh-CN" w:bidi="ar"/>
              </w:rPr>
              <w:t>保健食品</w:t>
            </w:r>
          </w:p>
        </w:tc>
        <w:tc>
          <w:tcPr>
            <w:tcW w:w="4167" w:type="dxa"/>
            <w:vAlign w:val="center"/>
          </w:tcPr>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《安神类中成药和保健食品中非法添加褪黑素、佐匹克隆、氯苯那敏、扎来普隆的补充检验方法》(国家食品药品监督管理局药品检验补充检验方法和检验项目批准件2012004)</w:t>
            </w:r>
          </w:p>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《安神类中成药中非法添加化学品检测方法》(国家食品药品监督管理局药品检验补充检验方法和检验项目批准件 2009024)</w:t>
            </w:r>
          </w:p>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《补肾壮阳类中成药中PDE5型抑制剂的快速检测方法》(国家食品药品监督管理局药品检验补充检验方法和检验项目批准件 2009030)</w:t>
            </w:r>
          </w:p>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《改善睡眠类类中成药及保健食品中非法添加罗通定、青藤碱、文拉法辛补充检验方法》(国家食品药品监督管理局药品检验补充检验方法和检验项目批准件 2013002)</w:t>
            </w:r>
          </w:p>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《降糖类中成药和辅助降血糖类保健食品中非法添加格列波脲的补充检验方法》(国家食品药品监督管理局药品检验补充检验方法和检验项目批准件2013001)</w:t>
            </w:r>
          </w:p>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《降糖类中成药中非法添加化学药品补充检验方法》(国家食品药品监督管理局药品检验补充检验方法和检验项目批准件 2009029)</w:t>
            </w:r>
          </w:p>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《降糖类中成药中非法添加盐酸丁二胍补充检验方法》(国家食品药品监督管理局药品检验补充检验方法和检验项目批准件2011008)</w:t>
            </w:r>
          </w:p>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《中华人民共和国食品安全法》第三十八条</w:t>
            </w:r>
          </w:p>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GB 16740-2014《食品安全国家标准 保健食品》</w:t>
            </w:r>
          </w:p>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GB 16740－2014《食品安全国家标准 保健食品》</w:t>
            </w:r>
          </w:p>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GB 17399－2016《食品安全国家标准 糖果》</w:t>
            </w:r>
          </w:p>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GB 19640－2016《食品安全国家标准 冲调谷物制品》</w:t>
            </w:r>
          </w:p>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GB 2762－2017《食品安全国家标准 食品中污染物限量》</w:t>
            </w:r>
          </w:p>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GB 2762-2022《食品安全国家标准 食品中污染物限量》</w:t>
            </w:r>
          </w:p>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GB 2762－2022《食品安全国家标准 食品中污染物限量》</w:t>
            </w:r>
          </w:p>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GB 29921-2021《食品安全国家标准 预包装食品中致病菌限量》</w:t>
            </w:r>
          </w:p>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GB 29921－2021《食品安全国家标准 预包装食品中致病菌限量》</w:t>
            </w:r>
          </w:p>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GB 7101-2022《食品安全国家标准 饮料》</w:t>
            </w:r>
          </w:p>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Q/ABGI0002S－2021《力保健牌伊人装保健饮料》(备案号3100000171S－2021)</w:t>
            </w:r>
          </w:p>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Q/DEB 0023S－2023《保健食品 葆苓牌阿胶浆》</w:t>
            </w:r>
          </w:p>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Q/DXTJP 0045J－2021《总统牌北京同仁堂蜂王浆口服液》(备案号110178J－2021)</w:t>
            </w:r>
          </w:p>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Q/DXTJP 0071J－2021《总统牌灵芝西洋参口服液》(备案号110093J－2021)</w:t>
            </w:r>
          </w:p>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Q/GJK 0011S－2021《西瓜霜喉口宝含片(保健食品)》(备案号450030S－2009)</w:t>
            </w:r>
          </w:p>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Q/HWL 0036S－2023《南方牌黑芝麻糊(保健食品)》(备案号450868S－2023)</w:t>
            </w:r>
          </w:p>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Q/LLMY 0053S－2020《美澳健牌褪黑素维生素B₆片》(备案号44010638S－2020)</w:t>
            </w:r>
          </w:p>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Q/MAJ 0049S－2019《美澳健牌钙维生素D维生素K软胶囊》(备案号44010217S－2022)</w:t>
            </w:r>
          </w:p>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Q/MT 0001S－2022《韵之素阿胶补血口服液》(备案号44200086S－2022)</w:t>
            </w:r>
          </w:p>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Q/MXL 0096S－2020《潍至康®钙咀嚼片(牛奶味)》(备案号420510S－2020)</w:t>
            </w:r>
          </w:p>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Q/PGS 0009S－2022《潘高寿川贝枇杷糖》(备案号44010259S－2022)</w:t>
            </w:r>
          </w:p>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Q/SZDA 0002S－2020《宝佳适®保健饮料》(备案号322055S－2020)</w:t>
            </w:r>
          </w:p>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Q/TCBJ 0071S－2019《健力多®氨糖软骨素钙片》</w:t>
            </w:r>
          </w:p>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Q/TYS 0071S－2022《太阳神®猴头菇口服液》(备案号44190263S－2022)</w:t>
            </w:r>
          </w:p>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Q/TYS 0081S－2020《太阳神®阿胶当归黄芪口服液》(备案号44190202S－2020)</w:t>
            </w:r>
          </w:p>
          <w:p>
            <w:pPr>
              <w:widowControl/>
              <w:snapToGrid w:val="0"/>
              <w:spacing w:line="360" w:lineRule="exact"/>
              <w:jc w:val="left"/>
              <w:textAlignment w:val="center"/>
              <w:rPr>
                <w:rFonts w:hint="eastAsia" w:ascii="宋体" w:hAnsi="宋体" w:cs="宋体"/>
                <w:color w:val="auto"/>
                <w:sz w:val="20"/>
                <w:szCs w:val="20"/>
              </w:rPr>
            </w:pPr>
            <w:r>
              <w:rPr>
                <w:rFonts w:hint="eastAsia" w:ascii="宋体" w:hAnsi="宋体" w:cs="宋体"/>
                <w:b w:val="0"/>
                <w:bCs w:val="0"/>
                <w:color w:val="000000"/>
                <w:kern w:val="0"/>
                <w:sz w:val="18"/>
                <w:szCs w:val="18"/>
                <w:highlight w:val="none"/>
                <w:lang w:val="en-US" w:eastAsia="zh-CN"/>
              </w:rPr>
              <w:t>Q/YLDRP 0001S－2021《益力多牌乳酸菌乳饮品》(备案号44010915S－2021)</w:t>
            </w:r>
          </w:p>
        </w:tc>
        <w:tc>
          <w:tcPr>
            <w:tcW w:w="4510" w:type="dxa"/>
            <w:vAlign w:val="center"/>
          </w:tcPr>
          <w:p>
            <w:pPr>
              <w:widowControl/>
              <w:snapToGrid w:val="0"/>
              <w:spacing w:line="360" w:lineRule="exact"/>
              <w:jc w:val="left"/>
              <w:textAlignment w:val="center"/>
              <w:rPr>
                <w:rFonts w:hint="eastAsia" w:ascii="宋体" w:hAnsi="宋体" w:cs="宋体"/>
                <w:color w:val="auto"/>
                <w:sz w:val="20"/>
                <w:szCs w:val="20"/>
              </w:rPr>
            </w:pPr>
            <w:r>
              <w:rPr>
                <w:rFonts w:hint="eastAsia" w:ascii="宋体" w:hAnsi="宋体" w:cs="宋体"/>
                <w:b w:val="0"/>
                <w:bCs w:val="0"/>
                <w:color w:val="000000"/>
                <w:kern w:val="0"/>
                <w:sz w:val="18"/>
                <w:szCs w:val="18"/>
                <w:highlight w:val="none"/>
                <w:lang w:val="en-US" w:eastAsia="zh-CN"/>
              </w:rPr>
              <w:t>Fe²⁺、阿普唑仑、艾司唑仑、氨基他达拉非、奥沙西泮、巴比妥、苯巴比妥、崩解时限、大肠菌群、蛋白质、地西泮、伐地那非、钙、钙(以Ca计)、格列本脲、格列吡嗪、格列波脲、格列喹酮、格列美脲、格列齐特、还原糖(以葡萄糖计)、豪莫西地那非、红地那非、肌醇、甲苯磺丁脲、酵母、酵母菌、金黄色葡萄球菌、菌落总数、可溶性固形物、可溶性固形物(20℃折光计法)、劳拉西泮、硫代艾地那非、罗通定、洛伐他汀、氯苯那敏、氯氮卓、氯美扎酮、氯硝西泮、马来酸罗格列酮、马来酸咪达唑仑、霉菌、霉菌和酵母、那红地那非、那莫西地那非、铅、铅(Pb)、铅(以Pb计)、羟基豪莫西地那非、青藤碱、瑞格列奈、三唑仑、沙门氏菌、砷、司可巴比妥、他达拉非、铁、铁(以Fe计)、维生素B₂磷酸钠、维生素B₆、维生素B₆盐酸盐、维生素D₃(以胆钙化醇计)、维生素E、伪伐地那非、文拉法辛、西地那非、硝西泮、辛伐他汀、烟酰胺、盐酸苯乙双胍、盐酸吡格列酮、盐酸丁二胍、盐酸二甲双胍、异戊巴比妥、扎来普隆、总汞(Hg)、总砷(As)、总砷(以As计)、佐匹克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6" w:type="dxa"/>
            <w:vMerge w:val="restart"/>
            <w:vAlign w:val="center"/>
          </w:tcPr>
          <w:p>
            <w:pPr>
              <w:widowControl/>
              <w:snapToGrid w:val="0"/>
              <w:spacing w:line="360" w:lineRule="exact"/>
              <w:jc w:val="center"/>
              <w:textAlignment w:val="center"/>
              <w:rPr>
                <w:rFonts w:hint="default" w:ascii="宋体" w:hAnsi="宋体" w:cs="宋体"/>
                <w:sz w:val="20"/>
                <w:szCs w:val="20"/>
                <w:lang w:val="en-US" w:eastAsia="zh-CN"/>
              </w:rPr>
            </w:pPr>
            <w:r>
              <w:rPr>
                <w:rFonts w:hint="eastAsia" w:ascii="宋体" w:hAnsi="宋体" w:cs="宋体"/>
                <w:b w:val="0"/>
                <w:bCs w:val="0"/>
                <w:color w:val="000000"/>
                <w:kern w:val="0"/>
                <w:sz w:val="18"/>
                <w:szCs w:val="18"/>
                <w:highlight w:val="none"/>
                <w:lang w:val="en-US" w:eastAsia="zh-CN"/>
              </w:rPr>
              <w:t>13</w:t>
            </w:r>
          </w:p>
        </w:tc>
        <w:tc>
          <w:tcPr>
            <w:tcW w:w="1073" w:type="dxa"/>
            <w:vMerge w:val="restart"/>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iCs w:val="0"/>
                <w:color w:val="000000"/>
                <w:kern w:val="0"/>
                <w:sz w:val="18"/>
                <w:szCs w:val="18"/>
                <w:u w:val="none"/>
                <w:lang w:val="en-US" w:eastAsia="zh-CN" w:bidi="ar"/>
              </w:rPr>
              <w:t>婴幼儿配方食品</w:t>
            </w:r>
          </w:p>
        </w:tc>
        <w:tc>
          <w:tcPr>
            <w:tcW w:w="1109" w:type="dxa"/>
            <w:vMerge w:val="restart"/>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iCs w:val="0"/>
                <w:color w:val="000000"/>
                <w:kern w:val="0"/>
                <w:sz w:val="18"/>
                <w:szCs w:val="18"/>
                <w:u w:val="none"/>
                <w:lang w:val="en-US" w:eastAsia="zh-CN" w:bidi="ar"/>
              </w:rPr>
              <w:t>婴幼儿配方食品(湿法工艺、干法工艺、干湿法混合工艺)</w:t>
            </w:r>
          </w:p>
        </w:tc>
        <w:tc>
          <w:tcPr>
            <w:tcW w:w="12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iCs w:val="0"/>
                <w:color w:val="000000"/>
                <w:kern w:val="0"/>
                <w:sz w:val="18"/>
                <w:szCs w:val="18"/>
                <w:u w:val="none"/>
                <w:lang w:val="en-US" w:eastAsia="zh-CN" w:bidi="ar"/>
              </w:rPr>
              <w:t>幼儿配方食品</w:t>
            </w:r>
          </w:p>
        </w:tc>
        <w:tc>
          <w:tcPr>
            <w:tcW w:w="118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iCs w:val="0"/>
                <w:color w:val="000000"/>
                <w:kern w:val="0"/>
                <w:sz w:val="18"/>
                <w:szCs w:val="18"/>
                <w:u w:val="none"/>
                <w:lang w:val="en-US" w:eastAsia="zh-CN" w:bidi="ar"/>
              </w:rPr>
              <w:t>幼儿配方食品</w:t>
            </w:r>
          </w:p>
        </w:tc>
        <w:tc>
          <w:tcPr>
            <w:tcW w:w="4167" w:type="dxa"/>
            <w:vAlign w:val="center"/>
          </w:tcPr>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GB 10767-2010《食品安全国家标准 较大婴儿和幼儿配方食品》</w:t>
            </w:r>
          </w:p>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GB 10767-2021《食品安全国家标准 幼儿配方食品》</w:t>
            </w:r>
          </w:p>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GB 13432-2013《食品安全国家标准 预包装特殊膳食用食品标签》</w:t>
            </w:r>
          </w:p>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GB 13432-2013《食品安全国家标准 预包装特殊膳食用食品标签》产品明示质量要求</w:t>
            </w:r>
          </w:p>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GB 2761-2017《食品安全国家标准 食品中真菌毒素限量》</w:t>
            </w:r>
          </w:p>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GB 2762-2017《食品安全国家标准 食品中污染物限量》</w:t>
            </w:r>
          </w:p>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GB 2762-2022《食品安全国家标准 食品中污染物限量》</w:t>
            </w:r>
          </w:p>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GB 29921-2021《食品安全国家标准 预包装食品中致病菌限量》</w:t>
            </w:r>
          </w:p>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产品明示标准和质量要求</w:t>
            </w:r>
          </w:p>
          <w:p>
            <w:pPr>
              <w:widowControl/>
              <w:snapToGrid w:val="0"/>
              <w:spacing w:line="360" w:lineRule="exact"/>
              <w:jc w:val="left"/>
              <w:textAlignment w:val="center"/>
              <w:rPr>
                <w:rFonts w:hint="eastAsia" w:ascii="宋体" w:hAnsi="宋体" w:cs="宋体"/>
                <w:color w:val="auto"/>
                <w:sz w:val="20"/>
                <w:szCs w:val="20"/>
              </w:rPr>
            </w:pPr>
            <w:r>
              <w:rPr>
                <w:rFonts w:hint="eastAsia" w:ascii="宋体" w:hAnsi="宋体" w:cs="宋体"/>
                <w:b w:val="0"/>
                <w:bCs w:val="0"/>
                <w:color w:val="000000"/>
                <w:kern w:val="0"/>
                <w:sz w:val="18"/>
                <w:szCs w:val="18"/>
                <w:highlight w:val="none"/>
                <w:lang w:val="en-US" w:eastAsia="zh-CN"/>
              </w:rPr>
              <w:t>卫生部、工业和信息化部、农业部、工商总局、质检总局公告2011年第10号《关于三聚氰胺在食品中的限量值的公告》</w:t>
            </w:r>
          </w:p>
        </w:tc>
        <w:tc>
          <w:tcPr>
            <w:tcW w:w="4510" w:type="dxa"/>
            <w:vAlign w:val="center"/>
          </w:tcPr>
          <w:p>
            <w:pPr>
              <w:widowControl/>
              <w:snapToGrid w:val="0"/>
              <w:spacing w:line="360" w:lineRule="exact"/>
              <w:jc w:val="left"/>
              <w:textAlignment w:val="center"/>
              <w:rPr>
                <w:rFonts w:hint="eastAsia" w:ascii="宋体" w:hAnsi="宋体" w:cs="宋体"/>
                <w:color w:val="auto"/>
                <w:sz w:val="20"/>
                <w:szCs w:val="20"/>
              </w:rPr>
            </w:pPr>
            <w:r>
              <w:rPr>
                <w:rFonts w:hint="eastAsia" w:ascii="宋体" w:hAnsi="宋体" w:cs="宋体"/>
                <w:b w:val="0"/>
                <w:bCs w:val="0"/>
                <w:color w:val="000000"/>
                <w:kern w:val="0"/>
                <w:sz w:val="18"/>
                <w:szCs w:val="18"/>
                <w:highlight w:val="none"/>
                <w:lang w:val="en-US" w:eastAsia="zh-CN"/>
              </w:rPr>
              <w:t>α-亚麻酸、大肠菌群、胆碱、蛋白质、碘、二十二碳六烯酸（DHA）、二十二碳六烯酸与总脂肪酸比、二十碳四烯酸（AA/ARA）、反式脂肪酸与总脂肪酸比值、泛酸、钙、钙磷比值、果聚糖(以低聚果糖计)、核苷酸、黄曲霉毒素M₁、灰分、肌醇、钾、金黄色葡萄球菌、菌落总数、磷、氯、镁、锰、钠、牛磺酸、铅(以Pb计)、乳糖占碳水化合物总量、三聚氰胺、沙门氏菌、生物素、水分、碳水化合物、铁、铜、维生素A、维生素B₁、维生素B₁₂、维生素B₂、维生素B₆、维生素C、维生素D、维生素E、维生素K₁、硒、硝酸盐(以NaNO₃计)、锌、亚硝酸盐(以NaNO₂计)、亚油酸、亚油酸与α-亚麻酸比值、烟酸(烟酰胺)、叶黄素、叶酸、杂质度、脂肪、左旋肉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6" w:type="dxa"/>
            <w:vMerge w:val="continue"/>
            <w:vAlign w:val="center"/>
          </w:tcPr>
          <w:p>
            <w:pPr>
              <w:widowControl/>
              <w:snapToGrid w:val="0"/>
              <w:spacing w:line="360" w:lineRule="exact"/>
              <w:jc w:val="center"/>
              <w:textAlignment w:val="center"/>
              <w:rPr>
                <w:rFonts w:hint="eastAsia" w:ascii="宋体" w:hAnsi="宋体" w:cs="宋体"/>
                <w:sz w:val="20"/>
                <w:szCs w:val="20"/>
                <w:lang w:val="en-US" w:eastAsia="zh-CN"/>
              </w:rPr>
            </w:pPr>
          </w:p>
        </w:tc>
        <w:tc>
          <w:tcPr>
            <w:tcW w:w="1073" w:type="dxa"/>
            <w:vMerge w:val="continue"/>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09" w:type="dxa"/>
            <w:vMerge w:val="continue"/>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iCs w:val="0"/>
                <w:color w:val="000000"/>
                <w:kern w:val="0"/>
                <w:sz w:val="18"/>
                <w:szCs w:val="18"/>
                <w:u w:val="none"/>
                <w:lang w:val="en-US" w:eastAsia="zh-CN" w:bidi="ar"/>
              </w:rPr>
              <w:t>较大婴儿配方食品</w:t>
            </w:r>
          </w:p>
        </w:tc>
        <w:tc>
          <w:tcPr>
            <w:tcW w:w="118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iCs w:val="0"/>
                <w:color w:val="000000"/>
                <w:kern w:val="0"/>
                <w:sz w:val="18"/>
                <w:szCs w:val="18"/>
                <w:u w:val="none"/>
                <w:lang w:val="en-US" w:eastAsia="zh-CN" w:bidi="ar"/>
              </w:rPr>
              <w:t>乳基较大婴儿配方食品、豆基较大婴儿配方食品</w:t>
            </w:r>
          </w:p>
        </w:tc>
        <w:tc>
          <w:tcPr>
            <w:tcW w:w="4167" w:type="dxa"/>
            <w:vAlign w:val="center"/>
          </w:tcPr>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GB 10766-2021《食品安全国家标准 较大婴儿配方食品》</w:t>
            </w:r>
          </w:p>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GB 13432-2013《食品安全国家标准 预包装特殊膳食用食品标签》产品明示质量要求</w:t>
            </w:r>
          </w:p>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GB 2761-2017《食品安全国家标准 食品中真菌毒素限量》</w:t>
            </w:r>
          </w:p>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GB 2762-2017《食品安全国家标准 食品中污染物限量》</w:t>
            </w:r>
          </w:p>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GB 29921-2021《食品安全国家标准 预包装食品中致病菌限量》</w:t>
            </w:r>
          </w:p>
          <w:p>
            <w:pPr>
              <w:widowControl/>
              <w:snapToGrid w:val="0"/>
              <w:spacing w:line="360" w:lineRule="exact"/>
              <w:jc w:val="left"/>
              <w:textAlignment w:val="center"/>
              <w:rPr>
                <w:rFonts w:hint="eastAsia" w:ascii="宋体" w:hAnsi="宋体" w:cs="宋体"/>
                <w:color w:val="auto"/>
                <w:sz w:val="20"/>
                <w:szCs w:val="20"/>
              </w:rPr>
            </w:pPr>
            <w:r>
              <w:rPr>
                <w:rFonts w:hint="eastAsia" w:ascii="宋体" w:hAnsi="宋体" w:cs="宋体"/>
                <w:b w:val="0"/>
                <w:bCs w:val="0"/>
                <w:color w:val="000000"/>
                <w:kern w:val="0"/>
                <w:sz w:val="18"/>
                <w:szCs w:val="18"/>
                <w:highlight w:val="none"/>
                <w:lang w:val="en-US" w:eastAsia="zh-CN"/>
              </w:rPr>
              <w:t>卫生部、工业和信息化部、农业部、工商总局、质检总局公告2011年第10号《关于三聚氰胺在食品中的限量值的公告》</w:t>
            </w:r>
          </w:p>
        </w:tc>
        <w:tc>
          <w:tcPr>
            <w:tcW w:w="4510" w:type="dxa"/>
            <w:vAlign w:val="center"/>
          </w:tcPr>
          <w:p>
            <w:pPr>
              <w:widowControl/>
              <w:snapToGrid w:val="0"/>
              <w:spacing w:line="360" w:lineRule="exact"/>
              <w:jc w:val="left"/>
              <w:textAlignment w:val="center"/>
              <w:rPr>
                <w:rFonts w:hint="eastAsia" w:ascii="宋体" w:hAnsi="宋体" w:cs="宋体"/>
                <w:color w:val="auto"/>
                <w:sz w:val="20"/>
                <w:szCs w:val="20"/>
              </w:rPr>
            </w:pPr>
            <w:r>
              <w:rPr>
                <w:rFonts w:hint="eastAsia" w:ascii="宋体" w:hAnsi="宋体" w:cs="宋体"/>
                <w:b w:val="0"/>
                <w:bCs w:val="0"/>
                <w:color w:val="000000"/>
                <w:kern w:val="0"/>
                <w:sz w:val="18"/>
                <w:szCs w:val="18"/>
                <w:highlight w:val="none"/>
                <w:lang w:val="en-US" w:eastAsia="zh-CN"/>
              </w:rPr>
              <w:t>α-亚麻酸、大肠菌群、胆碱、蛋白质、碘、二十二碳六烯酸(22:6 n-3)与二十碳四烯酸(20:4 n-6)的比、二十二碳六烯酸（DHA）、二十碳四烯酸（AA/ARA）、二十碳五烯酸(20:5 n-3)的量与二十二碳六烯酸的量的比、反式脂肪酸与总脂肪酸比值、泛酸、钙、钙磷比值、核苷酸、黄曲霉毒素M₁、灰分、肌醇、钾、芥酸与总脂肪酸比值、金黄色葡萄球菌、菌落总数、磷、氯、镁、锰、钠、牛磺酸、铅(以Pb计)、乳糖占碳水化合物总量、三聚氰胺、沙门氏菌、生物素、水分、碳水化合物、铁、铜、维生素A、维生素B₁、维生素B₁₂、维生素B₂、维生素B₆、维生素C、维生素D、维生素E、维生素K₁、硒、硝酸盐(以NaNO₃计)、锌、亚硝酸盐(以NaNO₂计)、亚油酸、亚油酸与α-亚麻酸比值、烟酸(烟酰胺)、叶酸、杂质度、脂肪、终产品脂肪中月桂酸和肉豆蔻酸(十四烷酸)总量占总脂肪酸的比值、左旋肉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6" w:type="dxa"/>
            <w:vMerge w:val="restart"/>
            <w:vAlign w:val="center"/>
          </w:tcPr>
          <w:p>
            <w:pPr>
              <w:widowControl/>
              <w:snapToGrid w:val="0"/>
              <w:spacing w:line="360" w:lineRule="exact"/>
              <w:jc w:val="center"/>
              <w:textAlignment w:val="center"/>
              <w:rPr>
                <w:rFonts w:hint="default" w:ascii="宋体" w:hAnsi="宋体" w:cs="宋体"/>
                <w:sz w:val="20"/>
                <w:szCs w:val="20"/>
                <w:lang w:val="en-US" w:eastAsia="zh-CN"/>
              </w:rPr>
            </w:pPr>
            <w:r>
              <w:rPr>
                <w:rFonts w:hint="eastAsia" w:ascii="宋体" w:hAnsi="宋体" w:cs="宋体"/>
                <w:b w:val="0"/>
                <w:bCs w:val="0"/>
                <w:color w:val="000000"/>
                <w:kern w:val="0"/>
                <w:sz w:val="18"/>
                <w:szCs w:val="18"/>
                <w:highlight w:val="none"/>
                <w:lang w:val="en-US" w:eastAsia="zh-CN"/>
              </w:rPr>
              <w:t>14</w:t>
            </w:r>
          </w:p>
        </w:tc>
        <w:tc>
          <w:tcPr>
            <w:tcW w:w="1073" w:type="dxa"/>
            <w:vMerge w:val="restart"/>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iCs w:val="0"/>
                <w:color w:val="000000"/>
                <w:kern w:val="0"/>
                <w:sz w:val="18"/>
                <w:szCs w:val="18"/>
                <w:u w:val="none"/>
                <w:lang w:val="en-US" w:eastAsia="zh-CN" w:bidi="ar"/>
              </w:rPr>
              <w:t>特殊膳食食品</w:t>
            </w:r>
          </w:p>
        </w:tc>
        <w:tc>
          <w:tcPr>
            <w:tcW w:w="1109" w:type="dxa"/>
            <w:vMerge w:val="restart"/>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iCs w:val="0"/>
                <w:color w:val="000000"/>
                <w:kern w:val="0"/>
                <w:sz w:val="18"/>
                <w:szCs w:val="18"/>
                <w:u w:val="none"/>
                <w:lang w:val="en-US" w:eastAsia="zh-CN" w:bidi="ar"/>
              </w:rPr>
              <w:t>婴幼儿辅助食品</w:t>
            </w:r>
          </w:p>
        </w:tc>
        <w:tc>
          <w:tcPr>
            <w:tcW w:w="12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iCs w:val="0"/>
                <w:color w:val="000000"/>
                <w:kern w:val="0"/>
                <w:sz w:val="18"/>
                <w:szCs w:val="18"/>
                <w:u w:val="none"/>
                <w:lang w:val="en-US" w:eastAsia="zh-CN" w:bidi="ar"/>
              </w:rPr>
              <w:t>婴幼儿谷类辅助食品</w:t>
            </w:r>
          </w:p>
        </w:tc>
        <w:tc>
          <w:tcPr>
            <w:tcW w:w="118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iCs w:val="0"/>
                <w:color w:val="000000"/>
                <w:kern w:val="0"/>
                <w:sz w:val="18"/>
                <w:szCs w:val="18"/>
                <w:u w:val="none"/>
                <w:lang w:val="en-US" w:eastAsia="zh-CN" w:bidi="ar"/>
              </w:rPr>
              <w:t>婴幼儿谷物辅助食品、婴幼儿高蛋白谷物辅助食品、婴幼儿生制类谷物辅助食品、婴幼儿饼干或其他婴幼儿谷物辅助食品</w:t>
            </w:r>
          </w:p>
        </w:tc>
        <w:tc>
          <w:tcPr>
            <w:tcW w:w="4167" w:type="dxa"/>
            <w:vAlign w:val="center"/>
          </w:tcPr>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GB 10769-2010《食品安全国家标准 婴幼儿谷类辅助食品》</w:t>
            </w:r>
          </w:p>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GB 2761-2017《食品安全国家标准 食品中真菌毒素限量》</w:t>
            </w:r>
          </w:p>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GB 2762-2022《食品安全国家标准 食品中污染物限量》</w:t>
            </w:r>
          </w:p>
          <w:p>
            <w:pPr>
              <w:widowControl/>
              <w:snapToGrid w:val="0"/>
              <w:spacing w:line="360" w:lineRule="exact"/>
              <w:jc w:val="left"/>
              <w:textAlignment w:val="center"/>
              <w:rPr>
                <w:rFonts w:hint="eastAsia" w:ascii="宋体" w:hAnsi="宋体" w:cs="宋体"/>
                <w:color w:val="auto"/>
                <w:sz w:val="20"/>
                <w:szCs w:val="20"/>
              </w:rPr>
            </w:pPr>
            <w:r>
              <w:rPr>
                <w:rFonts w:hint="eastAsia" w:ascii="宋体" w:hAnsi="宋体" w:cs="宋体"/>
                <w:b w:val="0"/>
                <w:bCs w:val="0"/>
                <w:color w:val="000000"/>
                <w:kern w:val="0"/>
                <w:sz w:val="18"/>
                <w:szCs w:val="18"/>
                <w:highlight w:val="none"/>
                <w:lang w:val="en-US" w:eastAsia="zh-CN"/>
              </w:rPr>
              <w:t>GB 29921-2021《食品安全国家标准 预包装食品中致病菌限量》</w:t>
            </w:r>
          </w:p>
        </w:tc>
        <w:tc>
          <w:tcPr>
            <w:tcW w:w="4510" w:type="dxa"/>
            <w:vAlign w:val="center"/>
          </w:tcPr>
          <w:p>
            <w:pPr>
              <w:widowControl/>
              <w:snapToGrid w:val="0"/>
              <w:spacing w:line="360" w:lineRule="exact"/>
              <w:jc w:val="left"/>
              <w:textAlignment w:val="center"/>
              <w:rPr>
                <w:rFonts w:hint="eastAsia" w:ascii="宋体" w:hAnsi="宋体" w:cs="宋体"/>
                <w:color w:val="auto"/>
                <w:sz w:val="20"/>
                <w:szCs w:val="20"/>
              </w:rPr>
            </w:pPr>
            <w:r>
              <w:rPr>
                <w:rFonts w:hint="eastAsia" w:ascii="宋体" w:hAnsi="宋体" w:cs="宋体"/>
                <w:b w:val="0"/>
                <w:bCs w:val="0"/>
                <w:color w:val="000000"/>
                <w:kern w:val="0"/>
                <w:sz w:val="18"/>
                <w:szCs w:val="18"/>
                <w:highlight w:val="none"/>
                <w:lang w:val="en-US" w:eastAsia="zh-CN"/>
              </w:rPr>
              <w:t>不溶性膳食纤维、大肠菌群、蛋白质、泛酸、钙、镉(以Cd计)、黄曲霉毒素B₁、钾、金黄色葡萄球菌、菌落总数、磷、钠、能量、铅(以Pb计)、沙门氏菌、生物素、水分、铁、维生素A、维生素B₁、维生素B₁₂、维生素B₂、维生素B₆、维生素D、维生素E、无机砷(以As计)、锡(以Sn计)、锌、亚硝酸盐(以NaNO₂计)、烟酸、叶酸、脂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6" w:type="dxa"/>
            <w:vMerge w:val="continue"/>
            <w:vAlign w:val="center"/>
          </w:tcPr>
          <w:p>
            <w:pPr>
              <w:widowControl/>
              <w:snapToGrid w:val="0"/>
              <w:spacing w:line="360" w:lineRule="exact"/>
              <w:jc w:val="center"/>
              <w:textAlignment w:val="center"/>
              <w:rPr>
                <w:rFonts w:hint="eastAsia" w:ascii="宋体" w:hAnsi="宋体" w:cs="宋体"/>
                <w:sz w:val="20"/>
                <w:szCs w:val="20"/>
                <w:lang w:val="en-US" w:eastAsia="zh-CN"/>
              </w:rPr>
            </w:pPr>
          </w:p>
        </w:tc>
        <w:tc>
          <w:tcPr>
            <w:tcW w:w="1073" w:type="dxa"/>
            <w:vMerge w:val="continue"/>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09" w:type="dxa"/>
            <w:vMerge w:val="continue"/>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iCs w:val="0"/>
                <w:color w:val="000000"/>
                <w:kern w:val="0"/>
                <w:sz w:val="18"/>
                <w:szCs w:val="18"/>
                <w:u w:val="none"/>
                <w:lang w:val="en-US" w:eastAsia="zh-CN" w:bidi="ar"/>
              </w:rPr>
              <w:t>婴幼儿罐装辅助食品</w:t>
            </w:r>
          </w:p>
        </w:tc>
        <w:tc>
          <w:tcPr>
            <w:tcW w:w="118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iCs w:val="0"/>
                <w:color w:val="000000"/>
                <w:kern w:val="0"/>
                <w:sz w:val="18"/>
                <w:szCs w:val="18"/>
                <w:u w:val="none"/>
                <w:lang w:val="en-US" w:eastAsia="zh-CN" w:bidi="ar"/>
              </w:rPr>
              <w:t>泥(糊)状罐装食品、颗粒状罐装食品、汁类罐装食品</w:t>
            </w:r>
          </w:p>
        </w:tc>
        <w:tc>
          <w:tcPr>
            <w:tcW w:w="4167" w:type="dxa"/>
            <w:vAlign w:val="center"/>
          </w:tcPr>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GB 10770-2010《食品安全国家标准 婴幼儿罐装辅助食品》</w:t>
            </w:r>
          </w:p>
          <w:p>
            <w:pPr>
              <w:widowControl/>
              <w:snapToGrid w:val="0"/>
              <w:spacing w:line="360" w:lineRule="exact"/>
              <w:jc w:val="left"/>
              <w:textAlignment w:val="center"/>
              <w:rPr>
                <w:rFonts w:hint="eastAsia" w:ascii="宋体" w:hAnsi="宋体" w:cs="宋体"/>
                <w:color w:val="auto"/>
                <w:sz w:val="20"/>
                <w:szCs w:val="20"/>
              </w:rPr>
            </w:pPr>
            <w:r>
              <w:rPr>
                <w:rFonts w:hint="eastAsia" w:ascii="宋体" w:hAnsi="宋体" w:cs="宋体"/>
                <w:b w:val="0"/>
                <w:bCs w:val="0"/>
                <w:color w:val="000000"/>
                <w:kern w:val="0"/>
                <w:sz w:val="18"/>
                <w:szCs w:val="18"/>
                <w:highlight w:val="none"/>
                <w:lang w:val="en-US" w:eastAsia="zh-CN"/>
              </w:rPr>
              <w:t>GB 2762-2022《食品安全国家标准 食品中污染物限量》</w:t>
            </w:r>
          </w:p>
        </w:tc>
        <w:tc>
          <w:tcPr>
            <w:tcW w:w="4510" w:type="dxa"/>
            <w:vAlign w:val="center"/>
          </w:tcPr>
          <w:p>
            <w:pPr>
              <w:widowControl/>
              <w:snapToGrid w:val="0"/>
              <w:spacing w:line="360" w:lineRule="exact"/>
              <w:jc w:val="left"/>
              <w:textAlignment w:val="center"/>
              <w:rPr>
                <w:rFonts w:hint="eastAsia" w:ascii="宋体" w:hAnsi="宋体" w:cs="宋体"/>
                <w:color w:val="auto"/>
                <w:sz w:val="20"/>
                <w:szCs w:val="20"/>
              </w:rPr>
            </w:pPr>
            <w:r>
              <w:rPr>
                <w:rFonts w:hint="eastAsia" w:ascii="宋体" w:hAnsi="宋体" w:cs="宋体"/>
                <w:b w:val="0"/>
                <w:bCs w:val="0"/>
                <w:color w:val="000000"/>
                <w:kern w:val="0"/>
                <w:sz w:val="18"/>
                <w:szCs w:val="18"/>
                <w:highlight w:val="none"/>
                <w:lang w:val="en-US" w:eastAsia="zh-CN"/>
              </w:rPr>
              <w:t>总钠、商业无菌、铅(以Pb计)、总汞(以Hg计)、无机砷(以As计)、亚硝酸盐(以NaNO₂计)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6" w:type="dxa"/>
            <w:vMerge w:val="restart"/>
            <w:vAlign w:val="center"/>
          </w:tcPr>
          <w:p>
            <w:pPr>
              <w:widowControl/>
              <w:snapToGrid w:val="0"/>
              <w:spacing w:line="360" w:lineRule="exact"/>
              <w:jc w:val="center"/>
              <w:textAlignment w:val="center"/>
              <w:rPr>
                <w:rFonts w:hint="default" w:ascii="宋体" w:hAnsi="宋体" w:cs="宋体"/>
                <w:sz w:val="20"/>
                <w:szCs w:val="20"/>
                <w:lang w:val="en-US" w:eastAsia="zh-CN"/>
              </w:rPr>
            </w:pPr>
            <w:r>
              <w:rPr>
                <w:rFonts w:hint="eastAsia" w:ascii="宋体" w:hAnsi="宋体" w:cs="宋体"/>
                <w:b w:val="0"/>
                <w:bCs w:val="0"/>
                <w:color w:val="000000"/>
                <w:kern w:val="0"/>
                <w:sz w:val="18"/>
                <w:szCs w:val="18"/>
                <w:highlight w:val="none"/>
                <w:lang w:val="en-US" w:eastAsia="zh-CN"/>
              </w:rPr>
              <w:t>15</w:t>
            </w:r>
          </w:p>
        </w:tc>
        <w:tc>
          <w:tcPr>
            <w:tcW w:w="1073" w:type="dxa"/>
            <w:vMerge w:val="restart"/>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iCs w:val="0"/>
                <w:color w:val="000000"/>
                <w:kern w:val="0"/>
                <w:sz w:val="18"/>
                <w:szCs w:val="18"/>
                <w:u w:val="none"/>
                <w:lang w:val="en-US" w:eastAsia="zh-CN" w:bidi="ar"/>
              </w:rPr>
              <w:t>特殊医学用途配方食品</w:t>
            </w:r>
          </w:p>
        </w:tc>
        <w:tc>
          <w:tcPr>
            <w:tcW w:w="1109" w:type="dxa"/>
            <w:vMerge w:val="restart"/>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iCs w:val="0"/>
                <w:color w:val="000000"/>
                <w:kern w:val="0"/>
                <w:sz w:val="18"/>
                <w:szCs w:val="18"/>
                <w:u w:val="none"/>
                <w:lang w:val="en-US" w:eastAsia="zh-CN" w:bidi="ar"/>
              </w:rPr>
              <w:t>特殊医学用途配方食品</w:t>
            </w:r>
          </w:p>
        </w:tc>
        <w:tc>
          <w:tcPr>
            <w:tcW w:w="12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iCs w:val="0"/>
                <w:color w:val="000000"/>
                <w:kern w:val="0"/>
                <w:sz w:val="18"/>
                <w:szCs w:val="18"/>
                <w:u w:val="none"/>
                <w:lang w:val="en-US" w:eastAsia="zh-CN" w:bidi="ar"/>
              </w:rPr>
              <w:t>特殊医学用途配方食品</w:t>
            </w:r>
          </w:p>
        </w:tc>
        <w:tc>
          <w:tcPr>
            <w:tcW w:w="118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iCs w:val="0"/>
                <w:color w:val="000000"/>
                <w:kern w:val="0"/>
                <w:sz w:val="18"/>
                <w:szCs w:val="18"/>
                <w:u w:val="none"/>
                <w:lang w:val="en-US" w:eastAsia="zh-CN" w:bidi="ar"/>
              </w:rPr>
              <w:t>全营养配方食品</w:t>
            </w:r>
          </w:p>
        </w:tc>
        <w:tc>
          <w:tcPr>
            <w:tcW w:w="4167" w:type="dxa"/>
            <w:vAlign w:val="center"/>
          </w:tcPr>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GB 2761-2017《食品安全国家标准 食品中真菌毒素限量》</w:t>
            </w:r>
          </w:p>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GB 2762-2017《食品安全国家标准 食品中污染物限量》</w:t>
            </w:r>
          </w:p>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GB 29921-2021《食品安全国家标准 预包装食品中致病菌限量》</w:t>
            </w:r>
          </w:p>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GB 29922-2013《食品安全国家标准 特殊医学用途配方食品通则》</w:t>
            </w:r>
          </w:p>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产品明示质量要求</w:t>
            </w:r>
          </w:p>
          <w:p>
            <w:pPr>
              <w:widowControl/>
              <w:snapToGrid w:val="0"/>
              <w:spacing w:line="360" w:lineRule="exact"/>
              <w:jc w:val="left"/>
              <w:textAlignment w:val="center"/>
              <w:rPr>
                <w:rFonts w:hint="eastAsia" w:ascii="宋体" w:hAnsi="宋体" w:cs="宋体"/>
                <w:color w:val="auto"/>
                <w:sz w:val="20"/>
                <w:szCs w:val="20"/>
              </w:rPr>
            </w:pPr>
            <w:r>
              <w:rPr>
                <w:rFonts w:hint="eastAsia" w:ascii="宋体" w:hAnsi="宋体" w:cs="宋体"/>
                <w:b w:val="0"/>
                <w:bCs w:val="0"/>
                <w:color w:val="000000"/>
                <w:kern w:val="0"/>
                <w:sz w:val="18"/>
                <w:szCs w:val="18"/>
                <w:highlight w:val="none"/>
                <w:lang w:val="en-US" w:eastAsia="zh-CN"/>
              </w:rPr>
              <w:t>卫生部、工业和信息化部、农业部、工商总局、质检总局公告2011年第10号《关于三聚氰胺在食品中的限量值的公告》</w:t>
            </w:r>
          </w:p>
        </w:tc>
        <w:tc>
          <w:tcPr>
            <w:tcW w:w="4510" w:type="dxa"/>
            <w:vAlign w:val="center"/>
          </w:tcPr>
          <w:p>
            <w:pPr>
              <w:widowControl/>
              <w:snapToGrid w:val="0"/>
              <w:spacing w:line="360" w:lineRule="exact"/>
              <w:jc w:val="left"/>
              <w:textAlignment w:val="center"/>
              <w:rPr>
                <w:rFonts w:hint="eastAsia" w:ascii="宋体" w:hAnsi="宋体" w:cs="宋体"/>
                <w:color w:val="auto"/>
                <w:sz w:val="20"/>
                <w:szCs w:val="20"/>
              </w:rPr>
            </w:pPr>
            <w:r>
              <w:rPr>
                <w:rFonts w:hint="eastAsia" w:ascii="宋体" w:hAnsi="宋体" w:cs="宋体"/>
                <w:b w:val="0"/>
                <w:bCs w:val="0"/>
                <w:color w:val="000000"/>
                <w:kern w:val="0"/>
                <w:sz w:val="18"/>
                <w:szCs w:val="18"/>
                <w:highlight w:val="none"/>
                <w:lang w:val="en-US" w:eastAsia="zh-CN"/>
              </w:rPr>
              <w:t>α-亚麻酸供能比、大肠菌群、胆碱、蛋白质、碘、二十二碳六烯酸、二十二碳六烯酸与总脂肪酸比、泛酸、钙、铬、黄曲霉毒素M₁、钾、金黄色葡萄球菌、菌落总数、磷、氯、镁、锰、钼、钠、牛磺酸、铅(以Pb计)、三聚氰胺、沙门氏菌、生物素、铁、铜、维生素A、维生素B₁₂、维生素B₂、维生素B₆、维生素C、维生素D、维生素E、维生素K₁、硒、硝酸盐(以NaNO₃计)、锌、亚硝酸盐(以NaNO₂计)、亚油酸供能比、烟酸(烟酰胺)、叶酸、左旋肉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6" w:type="dxa"/>
            <w:vMerge w:val="continue"/>
            <w:vAlign w:val="center"/>
          </w:tcPr>
          <w:p>
            <w:pPr>
              <w:widowControl/>
              <w:snapToGrid w:val="0"/>
              <w:spacing w:line="360" w:lineRule="exact"/>
              <w:jc w:val="center"/>
              <w:textAlignment w:val="center"/>
              <w:rPr>
                <w:rFonts w:hint="eastAsia" w:ascii="宋体" w:hAnsi="宋体" w:cs="宋体"/>
                <w:sz w:val="20"/>
                <w:szCs w:val="20"/>
                <w:lang w:val="en-US" w:eastAsia="zh-CN"/>
              </w:rPr>
            </w:pPr>
          </w:p>
        </w:tc>
        <w:tc>
          <w:tcPr>
            <w:tcW w:w="1073" w:type="dxa"/>
            <w:vMerge w:val="continue"/>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09" w:type="dxa"/>
            <w:vMerge w:val="continue"/>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iCs w:val="0"/>
                <w:color w:val="000000"/>
                <w:kern w:val="0"/>
                <w:sz w:val="18"/>
                <w:szCs w:val="18"/>
                <w:u w:val="none"/>
                <w:lang w:val="en-US" w:eastAsia="zh-CN" w:bidi="ar"/>
              </w:rPr>
              <w:t>特殊医学用途婴儿配方食品</w:t>
            </w:r>
          </w:p>
        </w:tc>
        <w:tc>
          <w:tcPr>
            <w:tcW w:w="118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iCs w:val="0"/>
                <w:color w:val="000000"/>
                <w:kern w:val="0"/>
                <w:sz w:val="18"/>
                <w:szCs w:val="18"/>
                <w:u w:val="none"/>
                <w:lang w:val="en-US" w:eastAsia="zh-CN" w:bidi="ar"/>
              </w:rPr>
              <w:t>特殊医学用途婴儿配方食品</w:t>
            </w:r>
          </w:p>
        </w:tc>
        <w:tc>
          <w:tcPr>
            <w:tcW w:w="4167" w:type="dxa"/>
            <w:vAlign w:val="center"/>
          </w:tcPr>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GB 13432-2013《食品安全国家标准 预包装特殊膳食用食品标签》产品明示质量要求</w:t>
            </w:r>
          </w:p>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GB 25596-2010《食品安全国家标准 特殊医学用途婴儿配方食品通则》</w:t>
            </w:r>
          </w:p>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GB 2761-2017《食品安全国家标准 食品中真菌毒素限量》</w:t>
            </w:r>
          </w:p>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GB 2762-2017《食品安全国家标准 食品中污染物限量》</w:t>
            </w:r>
          </w:p>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GB 2762-2022《食品安全国家标准 食品中污染物限量》</w:t>
            </w:r>
          </w:p>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GB 29921-2021《食品安全国家标准 预包装食品中致病菌限量》</w:t>
            </w:r>
          </w:p>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产品明示质量指标</w:t>
            </w:r>
          </w:p>
          <w:p>
            <w:pPr>
              <w:widowControl/>
              <w:snapToGrid w:val="0"/>
              <w:spacing w:line="360" w:lineRule="exact"/>
              <w:jc w:val="left"/>
              <w:textAlignment w:val="center"/>
              <w:rPr>
                <w:rFonts w:hint="eastAsia" w:ascii="宋体" w:hAnsi="宋体" w:cs="宋体"/>
                <w:color w:val="auto"/>
                <w:sz w:val="20"/>
                <w:szCs w:val="20"/>
              </w:rPr>
            </w:pPr>
            <w:r>
              <w:rPr>
                <w:rFonts w:hint="eastAsia" w:ascii="宋体" w:hAnsi="宋体" w:cs="宋体"/>
                <w:b w:val="0"/>
                <w:bCs w:val="0"/>
                <w:color w:val="000000"/>
                <w:kern w:val="0"/>
                <w:sz w:val="18"/>
                <w:szCs w:val="18"/>
                <w:highlight w:val="none"/>
                <w:lang w:val="en-US" w:eastAsia="zh-CN"/>
              </w:rPr>
              <w:t>卫生部、工业和信息化部、农业部、工商总局、质检总局公告2011年第10号《关于三聚氰胺在食品中的限量值的公告》</w:t>
            </w:r>
          </w:p>
        </w:tc>
        <w:tc>
          <w:tcPr>
            <w:tcW w:w="4510" w:type="dxa"/>
            <w:vAlign w:val="center"/>
          </w:tcPr>
          <w:p>
            <w:pPr>
              <w:widowControl/>
              <w:snapToGrid w:val="0"/>
              <w:spacing w:line="360" w:lineRule="exact"/>
              <w:jc w:val="left"/>
              <w:textAlignment w:val="center"/>
              <w:rPr>
                <w:rFonts w:hint="eastAsia" w:ascii="宋体" w:hAnsi="宋体" w:cs="宋体"/>
                <w:color w:val="auto"/>
                <w:sz w:val="20"/>
                <w:szCs w:val="20"/>
              </w:rPr>
            </w:pPr>
            <w:r>
              <w:rPr>
                <w:rFonts w:hint="eastAsia" w:ascii="宋体" w:hAnsi="宋体" w:cs="宋体"/>
                <w:b w:val="0"/>
                <w:bCs w:val="0"/>
                <w:color w:val="000000"/>
                <w:kern w:val="0"/>
                <w:sz w:val="18"/>
                <w:szCs w:val="18"/>
                <w:highlight w:val="none"/>
                <w:lang w:val="en-US" w:eastAsia="zh-CN"/>
              </w:rPr>
              <w:t>α-亚麻酸、大肠菌群、胆碱、蛋白质、碘、二十二碳六烯酸、二十二碳六烯酸(22:6 n-3)与二十碳四烯酸(20:4 n-6)的比、二十二碳六烯酸与总脂肪酸比、二十碳四烯酸、二十碳四烯酸与总脂肪酸比、反式脂肪酸与总脂肪酸比值、泛酸、钙、钙磷比值、核苷酸、黄曲霉毒素B₁、黄曲霉毒素M₁、灰分、肌醇、钾、芥酸与总脂肪酸比值、金黄色葡萄球菌、菌落总数、克罗诺杆菌属(阪崎肠杆菌)、磷、氯、镁、锰、钠、脲酶活性定性测定、牛磺酸、铅(以Pb计)、三聚氰胺、沙门氏菌、生物素、水分、碳水化合物、铁、铜、维生素A、维生素B₁、维生素B₁₂、维生素B₂、维生素B₆、维生素C、维生素D、维生素E、维生素K₁、硒、硝酸盐(以NaNO₃计)、锌、亚硝酸盐(以NaNO₂计)、亚油酸、亚油酸与α-亚麻酸比值、烟酸(烟酰胺)、叶酸、杂质度、长链不饱和脂肪酸中二十碳五烯酸(20:5 n-3)的量与二十二碳六烯酸的量的比、脂肪、终产品脂肪中月桂酸和肉豆蔻酸(十四烷酸)总量占总脂肪酸的比值、左旋肉碱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6" w:type="dxa"/>
            <w:vAlign w:val="center"/>
          </w:tcPr>
          <w:p>
            <w:pPr>
              <w:widowControl/>
              <w:snapToGrid w:val="0"/>
              <w:spacing w:line="360" w:lineRule="exact"/>
              <w:jc w:val="center"/>
              <w:textAlignment w:val="center"/>
              <w:rPr>
                <w:rFonts w:hint="default" w:ascii="宋体" w:hAnsi="宋体" w:cs="宋体"/>
                <w:sz w:val="20"/>
                <w:szCs w:val="20"/>
                <w:lang w:val="en-US" w:eastAsia="zh-CN"/>
              </w:rPr>
            </w:pPr>
            <w:r>
              <w:rPr>
                <w:rFonts w:hint="eastAsia" w:ascii="宋体" w:hAnsi="宋体" w:cs="宋体"/>
                <w:b w:val="0"/>
                <w:bCs w:val="0"/>
                <w:color w:val="000000"/>
                <w:kern w:val="0"/>
                <w:sz w:val="18"/>
                <w:szCs w:val="18"/>
                <w:highlight w:val="none"/>
                <w:lang w:val="en-US" w:eastAsia="zh-CN"/>
              </w:rPr>
              <w:t>16</w:t>
            </w:r>
          </w:p>
        </w:tc>
        <w:tc>
          <w:tcPr>
            <w:tcW w:w="107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iCs w:val="0"/>
                <w:color w:val="000000"/>
                <w:kern w:val="0"/>
                <w:sz w:val="18"/>
                <w:szCs w:val="18"/>
                <w:u w:val="none"/>
                <w:lang w:val="en-US" w:eastAsia="zh-CN" w:bidi="ar"/>
              </w:rPr>
              <w:t>酒类</w:t>
            </w:r>
          </w:p>
        </w:tc>
        <w:tc>
          <w:tcPr>
            <w:tcW w:w="110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iCs w:val="0"/>
                <w:color w:val="000000"/>
                <w:kern w:val="0"/>
                <w:sz w:val="18"/>
                <w:szCs w:val="18"/>
                <w:u w:val="none"/>
                <w:lang w:val="en-US" w:eastAsia="zh-CN" w:bidi="ar"/>
              </w:rPr>
              <w:t>蒸馏酒</w:t>
            </w:r>
          </w:p>
        </w:tc>
        <w:tc>
          <w:tcPr>
            <w:tcW w:w="12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iCs w:val="0"/>
                <w:color w:val="000000"/>
                <w:kern w:val="0"/>
                <w:sz w:val="18"/>
                <w:szCs w:val="18"/>
                <w:u w:val="none"/>
                <w:lang w:val="en-US" w:eastAsia="zh-CN" w:bidi="ar"/>
              </w:rPr>
              <w:t>白酒</w:t>
            </w:r>
          </w:p>
        </w:tc>
        <w:tc>
          <w:tcPr>
            <w:tcW w:w="118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iCs w:val="0"/>
                <w:color w:val="000000"/>
                <w:kern w:val="0"/>
                <w:sz w:val="18"/>
                <w:szCs w:val="18"/>
                <w:u w:val="none"/>
                <w:lang w:val="en-US" w:eastAsia="zh-CN" w:bidi="ar"/>
              </w:rPr>
              <w:t>白酒、白酒(液态)、白酒(原酒)</w:t>
            </w:r>
          </w:p>
        </w:tc>
        <w:tc>
          <w:tcPr>
            <w:tcW w:w="4167" w:type="dxa"/>
            <w:vAlign w:val="center"/>
          </w:tcPr>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GB 2757-2012《食品安全国家标准 蒸馏酒及其配制酒》</w:t>
            </w:r>
          </w:p>
          <w:p>
            <w:pPr>
              <w:widowControl/>
              <w:snapToGrid w:val="0"/>
              <w:spacing w:line="360" w:lineRule="exact"/>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GB 2760-2014《食品安全国家标准 食品添加剂使用标准》</w:t>
            </w:r>
          </w:p>
          <w:p>
            <w:pPr>
              <w:widowControl/>
              <w:snapToGrid w:val="0"/>
              <w:spacing w:line="360" w:lineRule="exact"/>
              <w:jc w:val="left"/>
              <w:textAlignment w:val="center"/>
              <w:rPr>
                <w:rFonts w:hint="eastAsia" w:ascii="宋体" w:hAnsi="宋体" w:cs="宋体"/>
                <w:color w:val="auto"/>
                <w:sz w:val="20"/>
                <w:szCs w:val="20"/>
              </w:rPr>
            </w:pPr>
            <w:r>
              <w:rPr>
                <w:rFonts w:hint="eastAsia" w:ascii="宋体" w:hAnsi="宋体" w:cs="宋体"/>
                <w:b w:val="0"/>
                <w:bCs w:val="0"/>
                <w:color w:val="000000"/>
                <w:kern w:val="0"/>
                <w:sz w:val="18"/>
                <w:szCs w:val="18"/>
                <w:highlight w:val="none"/>
                <w:lang w:val="en-US" w:eastAsia="zh-CN"/>
              </w:rPr>
              <w:t>GB 2762-2022《食品安全国家标准 食品中污染物限量》</w:t>
            </w:r>
          </w:p>
        </w:tc>
        <w:tc>
          <w:tcPr>
            <w:tcW w:w="4510" w:type="dxa"/>
            <w:vAlign w:val="center"/>
          </w:tcPr>
          <w:p>
            <w:pPr>
              <w:widowControl/>
              <w:snapToGrid w:val="0"/>
              <w:spacing w:line="360" w:lineRule="exact"/>
              <w:jc w:val="left"/>
              <w:textAlignment w:val="center"/>
              <w:rPr>
                <w:rFonts w:hint="eastAsia" w:ascii="宋体" w:hAnsi="宋体" w:cs="宋体"/>
                <w:color w:val="auto"/>
                <w:sz w:val="20"/>
                <w:szCs w:val="20"/>
              </w:rPr>
            </w:pPr>
            <w:r>
              <w:rPr>
                <w:rFonts w:hint="eastAsia" w:ascii="宋体" w:hAnsi="宋体" w:cs="宋体"/>
                <w:b w:val="0"/>
                <w:bCs w:val="0"/>
                <w:color w:val="000000"/>
                <w:kern w:val="0"/>
                <w:sz w:val="18"/>
                <w:szCs w:val="18"/>
                <w:highlight w:val="none"/>
                <w:lang w:val="en-US" w:eastAsia="zh-CN"/>
              </w:rPr>
              <w:t>铅(以Pb计)、三氯蔗糖、甜蜜素(以环己基氨基磺酸计)、糖精钠(以糖精计)、氰化物(以HCN计)、甲醇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6" w:type="dxa"/>
            <w:vAlign w:val="center"/>
          </w:tcPr>
          <w:p>
            <w:pPr>
              <w:widowControl/>
              <w:snapToGrid w:val="0"/>
              <w:spacing w:line="360" w:lineRule="exact"/>
              <w:jc w:val="center"/>
              <w:textAlignment w:val="center"/>
              <w:rPr>
                <w:rFonts w:hint="default"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17</w:t>
            </w:r>
          </w:p>
        </w:tc>
        <w:tc>
          <w:tcPr>
            <w:tcW w:w="1073" w:type="dxa"/>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水果制品</w:t>
            </w:r>
          </w:p>
        </w:tc>
        <w:tc>
          <w:tcPr>
            <w:tcW w:w="1109" w:type="dxa"/>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水果制品</w:t>
            </w:r>
          </w:p>
        </w:tc>
        <w:tc>
          <w:tcPr>
            <w:tcW w:w="1210" w:type="dxa"/>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highlight w:val="none"/>
                <w:u w:val="none"/>
                <w:lang w:val="en-US" w:eastAsia="zh-CN" w:bidi="ar"/>
              </w:rPr>
              <w:t>蜜饯</w:t>
            </w:r>
          </w:p>
        </w:tc>
        <w:tc>
          <w:tcPr>
            <w:tcW w:w="1181" w:type="dxa"/>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highlight w:val="none"/>
                <w:u w:val="none"/>
                <w:lang w:val="en-US" w:eastAsia="zh-CN" w:bidi="ar"/>
              </w:rPr>
              <w:t>蜜饯类、凉果类、果脯类、话化类、果糕类</w:t>
            </w:r>
          </w:p>
        </w:tc>
        <w:tc>
          <w:tcPr>
            <w:tcW w:w="4167" w:type="dxa"/>
            <w:vAlign w:val="center"/>
          </w:tcPr>
          <w:p>
            <w:pPr>
              <w:keepNext w:val="0"/>
              <w:keepLines w:val="0"/>
              <w:widowControl/>
              <w:suppressLineNumbers w:val="0"/>
              <w:jc w:val="left"/>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GB 2760-2014《食品安全国家标准 食品添加剂使用标准》</w:t>
            </w:r>
          </w:p>
          <w:p>
            <w:pPr>
              <w:keepNext w:val="0"/>
              <w:keepLines w:val="0"/>
              <w:widowControl/>
              <w:suppressLineNumbers w:val="0"/>
              <w:jc w:val="left"/>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GB 14884-2016《食品安全国家标准 蜜饯》</w:t>
            </w:r>
          </w:p>
          <w:p>
            <w:pPr>
              <w:keepNext w:val="0"/>
              <w:keepLines w:val="0"/>
              <w:widowControl/>
              <w:suppressLineNumbers w:val="0"/>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eastAsia="宋体" w:cs="宋体"/>
                <w:color w:val="000000"/>
                <w:sz w:val="18"/>
                <w:szCs w:val="18"/>
                <w:highlight w:val="none"/>
                <w:lang w:val="en-US" w:eastAsia="zh-CN"/>
              </w:rPr>
              <w:t>产品明示标准和质量要求</w:t>
            </w:r>
          </w:p>
        </w:tc>
        <w:tc>
          <w:tcPr>
            <w:tcW w:w="4510" w:type="dxa"/>
            <w:vAlign w:val="center"/>
          </w:tcPr>
          <w:p>
            <w:pPr>
              <w:keepNext w:val="0"/>
              <w:keepLines w:val="0"/>
              <w:widowControl/>
              <w:suppressLineNumbers w:val="0"/>
              <w:jc w:val="center"/>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苯甲酸及其钠盐(以苯甲酸计)、大肠菌群、二氧化硫残留量、菌落总数、亮蓝、霉菌、柠檬黄、日落黄、山梨酸及其钾盐(以山梨酸计)、糖精钠(以糖精计)、甜蜜素(以环己基氨基磺酸计)、脱氢乙酸及其钠盐(以脱氢乙酸计)、苋菜红、胭脂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6" w:type="dxa"/>
            <w:vAlign w:val="center"/>
          </w:tcPr>
          <w:p>
            <w:pPr>
              <w:widowControl/>
              <w:snapToGrid w:val="0"/>
              <w:spacing w:line="360" w:lineRule="exact"/>
              <w:jc w:val="center"/>
              <w:textAlignment w:val="center"/>
              <w:rPr>
                <w:rFonts w:hint="default"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18</w:t>
            </w:r>
          </w:p>
        </w:tc>
        <w:tc>
          <w:tcPr>
            <w:tcW w:w="1073" w:type="dxa"/>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方便食品</w:t>
            </w:r>
          </w:p>
        </w:tc>
        <w:tc>
          <w:tcPr>
            <w:tcW w:w="1109" w:type="dxa"/>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方便食品</w:t>
            </w:r>
          </w:p>
        </w:tc>
        <w:tc>
          <w:tcPr>
            <w:tcW w:w="1210" w:type="dxa"/>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highlight w:val="none"/>
                <w:u w:val="none"/>
                <w:lang w:val="en-US" w:eastAsia="zh-CN" w:bidi="ar"/>
              </w:rPr>
              <w:t>调味面制品</w:t>
            </w:r>
          </w:p>
        </w:tc>
        <w:tc>
          <w:tcPr>
            <w:tcW w:w="1181" w:type="dxa"/>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highlight w:val="none"/>
                <w:u w:val="none"/>
                <w:lang w:val="en-US" w:eastAsia="zh-CN" w:bidi="ar"/>
              </w:rPr>
              <w:t>调味面制品</w:t>
            </w:r>
          </w:p>
        </w:tc>
        <w:tc>
          <w:tcPr>
            <w:tcW w:w="4167" w:type="dxa"/>
            <w:vAlign w:val="center"/>
          </w:tcPr>
          <w:p>
            <w:pPr>
              <w:keepNext w:val="0"/>
              <w:keepLines w:val="0"/>
              <w:widowControl/>
              <w:suppressLineNumbers w:val="0"/>
              <w:jc w:val="left"/>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GB 2760-2014《食品安全国家标准 食品添加剂使用标准》</w:t>
            </w:r>
          </w:p>
          <w:p>
            <w:pPr>
              <w:keepNext w:val="0"/>
              <w:keepLines w:val="0"/>
              <w:widowControl/>
              <w:suppressLineNumbers w:val="0"/>
              <w:jc w:val="left"/>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产品明示标准和质量要求</w:t>
            </w:r>
          </w:p>
          <w:p>
            <w:pPr>
              <w:keepNext w:val="0"/>
              <w:keepLines w:val="0"/>
              <w:widowControl/>
              <w:suppressLineNumbers w:val="0"/>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eastAsia="宋体" w:cs="宋体"/>
                <w:color w:val="000000"/>
                <w:sz w:val="18"/>
                <w:szCs w:val="18"/>
                <w:highlight w:val="none"/>
                <w:lang w:val="en-US" w:eastAsia="zh-CN"/>
              </w:rPr>
              <w:t>GB 29921-2021《食品安全国家标准 预包装食品中致病菌限量》</w:t>
            </w:r>
          </w:p>
        </w:tc>
        <w:tc>
          <w:tcPr>
            <w:tcW w:w="4510" w:type="dxa"/>
            <w:vAlign w:val="center"/>
          </w:tcPr>
          <w:p>
            <w:pPr>
              <w:keepNext w:val="0"/>
              <w:keepLines w:val="0"/>
              <w:widowControl/>
              <w:suppressLineNumbers w:val="0"/>
              <w:jc w:val="center"/>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苯甲酸及其钠盐(以苯甲酸计)、大肠菌群、金黄色葡萄球菌、菌落总数、三氯蔗糖、沙门氏菌、山梨酸及其钾盐(以山梨酸计)、糖精钠(以糖精计)、脱氢乙酸及其钠盐(以脱氢乙酸计)、霉菌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6" w:type="dxa"/>
            <w:vAlign w:val="center"/>
          </w:tcPr>
          <w:p>
            <w:pPr>
              <w:widowControl/>
              <w:snapToGrid w:val="0"/>
              <w:spacing w:line="360" w:lineRule="exact"/>
              <w:jc w:val="center"/>
              <w:textAlignment w:val="center"/>
              <w:rPr>
                <w:rFonts w:hint="default" w:ascii="宋体" w:hAnsi="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19</w:t>
            </w:r>
          </w:p>
        </w:tc>
        <w:tc>
          <w:tcPr>
            <w:tcW w:w="1073" w:type="dxa"/>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糕点</w:t>
            </w:r>
          </w:p>
        </w:tc>
        <w:tc>
          <w:tcPr>
            <w:tcW w:w="1109" w:type="dxa"/>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糕点</w:t>
            </w:r>
          </w:p>
        </w:tc>
        <w:tc>
          <w:tcPr>
            <w:tcW w:w="1210" w:type="dxa"/>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糕点</w:t>
            </w:r>
          </w:p>
        </w:tc>
        <w:tc>
          <w:tcPr>
            <w:tcW w:w="1181" w:type="dxa"/>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糕点</w:t>
            </w:r>
          </w:p>
        </w:tc>
        <w:tc>
          <w:tcPr>
            <w:tcW w:w="4167" w:type="dxa"/>
            <w:vAlign w:val="center"/>
          </w:tcPr>
          <w:p>
            <w:pPr>
              <w:keepNext w:val="0"/>
              <w:keepLines w:val="0"/>
              <w:widowControl/>
              <w:suppressLineNumbers w:val="0"/>
              <w:jc w:val="left"/>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GB 2760-2014《食品安全国家标准 食品添加剂使用标准》</w:t>
            </w:r>
          </w:p>
          <w:p>
            <w:pPr>
              <w:keepNext w:val="0"/>
              <w:keepLines w:val="0"/>
              <w:widowControl/>
              <w:suppressLineNumbers w:val="0"/>
              <w:jc w:val="left"/>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eastAsia="宋体" w:cs="宋体"/>
                <w:color w:val="000000"/>
                <w:sz w:val="18"/>
                <w:szCs w:val="18"/>
                <w:highlight w:val="none"/>
                <w:lang w:val="en-US" w:eastAsia="zh-CN"/>
              </w:rPr>
              <w:t>GB 2762-2022《食品安全国家标准 食品中污染物限量》</w:t>
            </w:r>
          </w:p>
        </w:tc>
        <w:tc>
          <w:tcPr>
            <w:tcW w:w="4510" w:type="dxa"/>
            <w:vAlign w:val="center"/>
          </w:tcPr>
          <w:p>
            <w:pPr>
              <w:keepNext w:val="0"/>
              <w:keepLines w:val="0"/>
              <w:widowControl/>
              <w:suppressLineNumbers w:val="0"/>
              <w:jc w:val="center"/>
              <w:textAlignment w:val="center"/>
              <w:rPr>
                <w:rFonts w:hint="eastAsia" w:ascii="宋体" w:hAnsi="宋体" w:cs="宋体"/>
                <w:b w:val="0"/>
                <w:bCs w:val="0"/>
                <w:color w:val="000000"/>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苯甲酸及其钠盐(以苯甲酸计)、铝的残留量(干样品,以Al计)、铅(以Pb计)、三氯蔗糖、山梨酸及其钾盐(以山梨酸计)、糖精钠(以糖精计)、甜蜜素(以环己基氨基磺酸计)、脱氢乙酸及其钠盐(以脱氢乙酸计)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6" w:type="dxa"/>
            <w:vAlign w:val="center"/>
          </w:tcPr>
          <w:p>
            <w:pPr>
              <w:keepNext w:val="0"/>
              <w:keepLines w:val="0"/>
              <w:widowControl/>
              <w:suppressLineNumbers w:val="0"/>
              <w:jc w:val="center"/>
              <w:textAlignment w:val="center"/>
              <w:rPr>
                <w:rFonts w:hint="default" w:ascii="宋体" w:hAnsi="宋体" w:cs="宋体"/>
                <w:b w:val="0"/>
                <w:bCs w:val="0"/>
                <w:color w:val="000000"/>
                <w:kern w:val="0"/>
                <w:sz w:val="18"/>
                <w:szCs w:val="18"/>
                <w:highlight w:val="none"/>
                <w:lang w:val="en-US" w:eastAsia="zh-CN"/>
              </w:rPr>
            </w:pPr>
            <w:r>
              <w:rPr>
                <w:rFonts w:hint="eastAsia" w:ascii="宋体" w:hAnsi="宋体" w:cs="宋体"/>
                <w:i w:val="0"/>
                <w:iCs w:val="0"/>
                <w:color w:val="000000"/>
                <w:kern w:val="0"/>
                <w:sz w:val="18"/>
                <w:szCs w:val="18"/>
                <w:u w:val="none"/>
                <w:lang w:val="en-US" w:eastAsia="zh-CN" w:bidi="ar"/>
              </w:rPr>
              <w:t>20</w:t>
            </w:r>
            <w:bookmarkStart w:id="0" w:name="_GoBack"/>
            <w:bookmarkEnd w:id="0"/>
          </w:p>
        </w:tc>
        <w:tc>
          <w:tcPr>
            <w:tcW w:w="1073" w:type="dxa"/>
            <w:vAlign w:val="center"/>
          </w:tcPr>
          <w:p>
            <w:pPr>
              <w:jc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调味品</w:t>
            </w:r>
          </w:p>
        </w:tc>
        <w:tc>
          <w:tcPr>
            <w:tcW w:w="1109" w:type="dxa"/>
            <w:vAlign w:val="center"/>
          </w:tcPr>
          <w:p>
            <w:pPr>
              <w:jc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香辛料类</w:t>
            </w:r>
          </w:p>
        </w:tc>
        <w:tc>
          <w:tcPr>
            <w:tcW w:w="1210" w:type="dxa"/>
            <w:vAlign w:val="center"/>
          </w:tcPr>
          <w:p>
            <w:pPr>
              <w:jc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香辛料类</w:t>
            </w:r>
          </w:p>
        </w:tc>
        <w:tc>
          <w:tcPr>
            <w:tcW w:w="1181" w:type="dxa"/>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辣椒、花椒、辣椒粉、花椒粉</w:t>
            </w:r>
          </w:p>
        </w:tc>
        <w:tc>
          <w:tcPr>
            <w:tcW w:w="416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GB 2760-2014《食品安全国家标准 食品添加剂使用标准》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GB 2762-2022《食品安全国家标准 食品中污染物限量》</w:t>
            </w:r>
          </w:p>
          <w:p>
            <w:pPr>
              <w:keepNext w:val="0"/>
              <w:keepLines w:val="0"/>
              <w:widowControl/>
              <w:suppressLineNumbers w:val="0"/>
              <w:jc w:val="left"/>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整顿办函[2011]1号《食品中可能违法添加的非食用物质和易滥用的食品添加剂品种名单(第五批)》</w:t>
            </w:r>
          </w:p>
        </w:tc>
        <w:tc>
          <w:tcPr>
            <w:tcW w:w="45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二氧化硫残留量、柠檬黄、铅(以Pb计)、日落黄、胭脂红、苏丹红Ⅰ、苏丹红Ⅳ、苏丹红Ⅱ、苏丹红Ⅲ、脱氢乙酸及其钠盐(以脱氢乙酸计)</w:t>
            </w:r>
          </w:p>
        </w:tc>
      </w:tr>
    </w:tbl>
    <w:p>
      <w:pPr>
        <w:spacing w:line="600" w:lineRule="exact"/>
        <w:textAlignment w:val="baseline"/>
        <w:rPr>
          <w:rFonts w:ascii="宋体" w:cs="Times New Roman"/>
          <w:color w:val="000000"/>
          <w:kern w:val="0"/>
          <w:sz w:val="18"/>
          <w:szCs w:val="18"/>
        </w:rPr>
      </w:pPr>
    </w:p>
    <w:sectPr>
      <w:pgSz w:w="16838" w:h="11906" w:orient="landscape"/>
      <w:pgMar w:top="1418" w:right="1531"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iMTk2YmUwODAyMTdmZDhjMDIzMDkzMDRmYTdmYzUifQ=="/>
  </w:docVars>
  <w:rsids>
    <w:rsidRoot w:val="00E45F03"/>
    <w:rsid w:val="00020472"/>
    <w:rsid w:val="00021A44"/>
    <w:rsid w:val="000334EB"/>
    <w:rsid w:val="000531C6"/>
    <w:rsid w:val="00057C9D"/>
    <w:rsid w:val="000644E2"/>
    <w:rsid w:val="00075FA6"/>
    <w:rsid w:val="000800AE"/>
    <w:rsid w:val="00097E5A"/>
    <w:rsid w:val="000A077E"/>
    <w:rsid w:val="000A1CA7"/>
    <w:rsid w:val="000A1D22"/>
    <w:rsid w:val="000B050A"/>
    <w:rsid w:val="000B6096"/>
    <w:rsid w:val="000B6C93"/>
    <w:rsid w:val="000C18BE"/>
    <w:rsid w:val="000D287B"/>
    <w:rsid w:val="0010014F"/>
    <w:rsid w:val="00102897"/>
    <w:rsid w:val="00113712"/>
    <w:rsid w:val="00156C2C"/>
    <w:rsid w:val="001570A9"/>
    <w:rsid w:val="00170E37"/>
    <w:rsid w:val="00177A5D"/>
    <w:rsid w:val="00184B83"/>
    <w:rsid w:val="001A6B3F"/>
    <w:rsid w:val="001B57E1"/>
    <w:rsid w:val="001B7BFF"/>
    <w:rsid w:val="001C5998"/>
    <w:rsid w:val="001F4806"/>
    <w:rsid w:val="00213A57"/>
    <w:rsid w:val="00220C3B"/>
    <w:rsid w:val="00272DBE"/>
    <w:rsid w:val="00296F29"/>
    <w:rsid w:val="002A1746"/>
    <w:rsid w:val="002A4B60"/>
    <w:rsid w:val="002A6787"/>
    <w:rsid w:val="002C0406"/>
    <w:rsid w:val="002C6A5D"/>
    <w:rsid w:val="002E4463"/>
    <w:rsid w:val="002E4D72"/>
    <w:rsid w:val="002E6CE1"/>
    <w:rsid w:val="002F5188"/>
    <w:rsid w:val="002F5D8F"/>
    <w:rsid w:val="00333515"/>
    <w:rsid w:val="00334816"/>
    <w:rsid w:val="00357F27"/>
    <w:rsid w:val="0038633A"/>
    <w:rsid w:val="00392B20"/>
    <w:rsid w:val="003943E0"/>
    <w:rsid w:val="003A1E99"/>
    <w:rsid w:val="003A3AFE"/>
    <w:rsid w:val="003A4B94"/>
    <w:rsid w:val="003B51E2"/>
    <w:rsid w:val="003D0B14"/>
    <w:rsid w:val="003E1542"/>
    <w:rsid w:val="003F6312"/>
    <w:rsid w:val="003F6FCD"/>
    <w:rsid w:val="00417336"/>
    <w:rsid w:val="00417B40"/>
    <w:rsid w:val="00431EC2"/>
    <w:rsid w:val="004471F2"/>
    <w:rsid w:val="00457D30"/>
    <w:rsid w:val="0047273E"/>
    <w:rsid w:val="00483E26"/>
    <w:rsid w:val="004A2F45"/>
    <w:rsid w:val="004C40C8"/>
    <w:rsid w:val="004C7EB2"/>
    <w:rsid w:val="004D5FF8"/>
    <w:rsid w:val="004D6D8C"/>
    <w:rsid w:val="004F3122"/>
    <w:rsid w:val="00506EEA"/>
    <w:rsid w:val="0051721E"/>
    <w:rsid w:val="0054294C"/>
    <w:rsid w:val="005643F4"/>
    <w:rsid w:val="005771A5"/>
    <w:rsid w:val="00584C1F"/>
    <w:rsid w:val="00596CE3"/>
    <w:rsid w:val="005A47F0"/>
    <w:rsid w:val="005B0C1C"/>
    <w:rsid w:val="005B469F"/>
    <w:rsid w:val="005D7D45"/>
    <w:rsid w:val="005E2E5E"/>
    <w:rsid w:val="005F6AB2"/>
    <w:rsid w:val="00621DA4"/>
    <w:rsid w:val="00656EA2"/>
    <w:rsid w:val="00687316"/>
    <w:rsid w:val="0069030F"/>
    <w:rsid w:val="0069349E"/>
    <w:rsid w:val="006A4A55"/>
    <w:rsid w:val="006A6837"/>
    <w:rsid w:val="006B139A"/>
    <w:rsid w:val="006F32DE"/>
    <w:rsid w:val="00721330"/>
    <w:rsid w:val="00745A18"/>
    <w:rsid w:val="007509C7"/>
    <w:rsid w:val="00757C06"/>
    <w:rsid w:val="0076408A"/>
    <w:rsid w:val="0076553E"/>
    <w:rsid w:val="007679F1"/>
    <w:rsid w:val="00770EEA"/>
    <w:rsid w:val="00772B6F"/>
    <w:rsid w:val="00772F9F"/>
    <w:rsid w:val="007732F1"/>
    <w:rsid w:val="0077575E"/>
    <w:rsid w:val="00776FB3"/>
    <w:rsid w:val="0077710D"/>
    <w:rsid w:val="00782DD9"/>
    <w:rsid w:val="00783A82"/>
    <w:rsid w:val="0078450E"/>
    <w:rsid w:val="007B0FA7"/>
    <w:rsid w:val="007E7E63"/>
    <w:rsid w:val="007F0457"/>
    <w:rsid w:val="007F16D0"/>
    <w:rsid w:val="00804CA1"/>
    <w:rsid w:val="00806884"/>
    <w:rsid w:val="00807CA9"/>
    <w:rsid w:val="0082346C"/>
    <w:rsid w:val="00830D7B"/>
    <w:rsid w:val="00831A6E"/>
    <w:rsid w:val="00831EDD"/>
    <w:rsid w:val="00840532"/>
    <w:rsid w:val="00854D09"/>
    <w:rsid w:val="008550AE"/>
    <w:rsid w:val="008572D6"/>
    <w:rsid w:val="0086226C"/>
    <w:rsid w:val="008743A6"/>
    <w:rsid w:val="0087748F"/>
    <w:rsid w:val="00880F04"/>
    <w:rsid w:val="00895177"/>
    <w:rsid w:val="008C24F5"/>
    <w:rsid w:val="008C7974"/>
    <w:rsid w:val="008D7ECA"/>
    <w:rsid w:val="008E1C89"/>
    <w:rsid w:val="00910447"/>
    <w:rsid w:val="009125A7"/>
    <w:rsid w:val="0092760E"/>
    <w:rsid w:val="00931FA9"/>
    <w:rsid w:val="00933A31"/>
    <w:rsid w:val="0094303D"/>
    <w:rsid w:val="00961E31"/>
    <w:rsid w:val="0096604C"/>
    <w:rsid w:val="009669E4"/>
    <w:rsid w:val="00966ED2"/>
    <w:rsid w:val="009702EA"/>
    <w:rsid w:val="009723FD"/>
    <w:rsid w:val="0098153C"/>
    <w:rsid w:val="009A454F"/>
    <w:rsid w:val="009B0D33"/>
    <w:rsid w:val="009B17D9"/>
    <w:rsid w:val="009B2B3B"/>
    <w:rsid w:val="009B7074"/>
    <w:rsid w:val="009C78F5"/>
    <w:rsid w:val="009D0BD1"/>
    <w:rsid w:val="009D113B"/>
    <w:rsid w:val="009D7D48"/>
    <w:rsid w:val="009E0C03"/>
    <w:rsid w:val="009F4DF7"/>
    <w:rsid w:val="009F4E9A"/>
    <w:rsid w:val="00A01F57"/>
    <w:rsid w:val="00A07CB7"/>
    <w:rsid w:val="00A1575B"/>
    <w:rsid w:val="00A257DB"/>
    <w:rsid w:val="00A27103"/>
    <w:rsid w:val="00A44D17"/>
    <w:rsid w:val="00A575AB"/>
    <w:rsid w:val="00A701D5"/>
    <w:rsid w:val="00A73BCA"/>
    <w:rsid w:val="00A80158"/>
    <w:rsid w:val="00A94006"/>
    <w:rsid w:val="00AB29D0"/>
    <w:rsid w:val="00AB7501"/>
    <w:rsid w:val="00AC1A0C"/>
    <w:rsid w:val="00AE1F23"/>
    <w:rsid w:val="00AE3CE7"/>
    <w:rsid w:val="00B25843"/>
    <w:rsid w:val="00B2683B"/>
    <w:rsid w:val="00B2770C"/>
    <w:rsid w:val="00B30AAD"/>
    <w:rsid w:val="00B44A31"/>
    <w:rsid w:val="00B5586D"/>
    <w:rsid w:val="00B6513D"/>
    <w:rsid w:val="00B75502"/>
    <w:rsid w:val="00B77214"/>
    <w:rsid w:val="00B92D7D"/>
    <w:rsid w:val="00B976AD"/>
    <w:rsid w:val="00BA55D1"/>
    <w:rsid w:val="00BD057A"/>
    <w:rsid w:val="00BD0C90"/>
    <w:rsid w:val="00BE6929"/>
    <w:rsid w:val="00BF148C"/>
    <w:rsid w:val="00C02532"/>
    <w:rsid w:val="00C33DC3"/>
    <w:rsid w:val="00C35DBC"/>
    <w:rsid w:val="00C43554"/>
    <w:rsid w:val="00C4522E"/>
    <w:rsid w:val="00C945C2"/>
    <w:rsid w:val="00CA264C"/>
    <w:rsid w:val="00CB47DF"/>
    <w:rsid w:val="00CC6249"/>
    <w:rsid w:val="00CD5FAA"/>
    <w:rsid w:val="00CE13D2"/>
    <w:rsid w:val="00CE4815"/>
    <w:rsid w:val="00CE73CD"/>
    <w:rsid w:val="00CF0D96"/>
    <w:rsid w:val="00D02604"/>
    <w:rsid w:val="00D13D9A"/>
    <w:rsid w:val="00D417A6"/>
    <w:rsid w:val="00D41D67"/>
    <w:rsid w:val="00D47DC9"/>
    <w:rsid w:val="00D71A50"/>
    <w:rsid w:val="00D82BFE"/>
    <w:rsid w:val="00D864E8"/>
    <w:rsid w:val="00D86D9B"/>
    <w:rsid w:val="00DB10E3"/>
    <w:rsid w:val="00DB35A6"/>
    <w:rsid w:val="00DD3C2E"/>
    <w:rsid w:val="00DD7C36"/>
    <w:rsid w:val="00DF497A"/>
    <w:rsid w:val="00DF5284"/>
    <w:rsid w:val="00DF5F7D"/>
    <w:rsid w:val="00E06234"/>
    <w:rsid w:val="00E31D88"/>
    <w:rsid w:val="00E34012"/>
    <w:rsid w:val="00E45F03"/>
    <w:rsid w:val="00E5072A"/>
    <w:rsid w:val="00E610CF"/>
    <w:rsid w:val="00E623E6"/>
    <w:rsid w:val="00E6313E"/>
    <w:rsid w:val="00E74907"/>
    <w:rsid w:val="00E764E7"/>
    <w:rsid w:val="00E82D78"/>
    <w:rsid w:val="00E91EE9"/>
    <w:rsid w:val="00E92087"/>
    <w:rsid w:val="00E92160"/>
    <w:rsid w:val="00EA1F06"/>
    <w:rsid w:val="00EB4141"/>
    <w:rsid w:val="00EC00A4"/>
    <w:rsid w:val="00EC22DC"/>
    <w:rsid w:val="00EC3160"/>
    <w:rsid w:val="00EE12C0"/>
    <w:rsid w:val="00EF608B"/>
    <w:rsid w:val="00F123FB"/>
    <w:rsid w:val="00F20699"/>
    <w:rsid w:val="00F232B8"/>
    <w:rsid w:val="00F42123"/>
    <w:rsid w:val="00F43C55"/>
    <w:rsid w:val="00F47F39"/>
    <w:rsid w:val="00F54AE5"/>
    <w:rsid w:val="00F56DA2"/>
    <w:rsid w:val="00F643E1"/>
    <w:rsid w:val="00F77D89"/>
    <w:rsid w:val="00F86640"/>
    <w:rsid w:val="00F9271E"/>
    <w:rsid w:val="00FD13F8"/>
    <w:rsid w:val="00FD24DB"/>
    <w:rsid w:val="00FE1ED3"/>
    <w:rsid w:val="00FE3F84"/>
    <w:rsid w:val="00FF23A3"/>
    <w:rsid w:val="00FF4C9A"/>
    <w:rsid w:val="01347C69"/>
    <w:rsid w:val="01D3620A"/>
    <w:rsid w:val="03B8571A"/>
    <w:rsid w:val="042E0FFB"/>
    <w:rsid w:val="04AB2539"/>
    <w:rsid w:val="07107AFC"/>
    <w:rsid w:val="079B1CAA"/>
    <w:rsid w:val="08E9780C"/>
    <w:rsid w:val="09AE1034"/>
    <w:rsid w:val="09FF0129"/>
    <w:rsid w:val="0A0611D6"/>
    <w:rsid w:val="0AD6181C"/>
    <w:rsid w:val="0B2B4169"/>
    <w:rsid w:val="0BB7094C"/>
    <w:rsid w:val="0EC570B2"/>
    <w:rsid w:val="0FAA3555"/>
    <w:rsid w:val="1114193C"/>
    <w:rsid w:val="11273B1B"/>
    <w:rsid w:val="113C2595"/>
    <w:rsid w:val="12607AD5"/>
    <w:rsid w:val="12AB2CB5"/>
    <w:rsid w:val="13542691"/>
    <w:rsid w:val="137F5235"/>
    <w:rsid w:val="14030150"/>
    <w:rsid w:val="16027150"/>
    <w:rsid w:val="16896315"/>
    <w:rsid w:val="179D5689"/>
    <w:rsid w:val="183015E8"/>
    <w:rsid w:val="184B73C5"/>
    <w:rsid w:val="18F37BAE"/>
    <w:rsid w:val="19431C56"/>
    <w:rsid w:val="19696CF7"/>
    <w:rsid w:val="1C8B1BF3"/>
    <w:rsid w:val="1C8D674C"/>
    <w:rsid w:val="1CA50DCA"/>
    <w:rsid w:val="1D051C5B"/>
    <w:rsid w:val="1D137939"/>
    <w:rsid w:val="1D5029AA"/>
    <w:rsid w:val="1D682F98"/>
    <w:rsid w:val="1DF5369D"/>
    <w:rsid w:val="1FAC3A08"/>
    <w:rsid w:val="1FFB52D3"/>
    <w:rsid w:val="201D5A78"/>
    <w:rsid w:val="20241E51"/>
    <w:rsid w:val="21AE004B"/>
    <w:rsid w:val="225F0AE7"/>
    <w:rsid w:val="23583152"/>
    <w:rsid w:val="23EB4A74"/>
    <w:rsid w:val="24394317"/>
    <w:rsid w:val="24AB7392"/>
    <w:rsid w:val="25264285"/>
    <w:rsid w:val="25A119D4"/>
    <w:rsid w:val="2640710B"/>
    <w:rsid w:val="26EA1046"/>
    <w:rsid w:val="27322E4F"/>
    <w:rsid w:val="27AF4BA5"/>
    <w:rsid w:val="28A6372A"/>
    <w:rsid w:val="28BD5771"/>
    <w:rsid w:val="28DF0C59"/>
    <w:rsid w:val="2907187F"/>
    <w:rsid w:val="29B97189"/>
    <w:rsid w:val="2A056C2B"/>
    <w:rsid w:val="2AF30247"/>
    <w:rsid w:val="2B3E0164"/>
    <w:rsid w:val="2B5445FC"/>
    <w:rsid w:val="2B6E7E2B"/>
    <w:rsid w:val="2BE2486C"/>
    <w:rsid w:val="2CE22010"/>
    <w:rsid w:val="2CF531EF"/>
    <w:rsid w:val="2D9460B7"/>
    <w:rsid w:val="2DAD2A0F"/>
    <w:rsid w:val="2F494B49"/>
    <w:rsid w:val="2F835AC6"/>
    <w:rsid w:val="3015654A"/>
    <w:rsid w:val="30311EBB"/>
    <w:rsid w:val="30537ED1"/>
    <w:rsid w:val="31006986"/>
    <w:rsid w:val="31011C61"/>
    <w:rsid w:val="33804D20"/>
    <w:rsid w:val="33C823CA"/>
    <w:rsid w:val="33E8544D"/>
    <w:rsid w:val="341552A9"/>
    <w:rsid w:val="34235CAA"/>
    <w:rsid w:val="34E14E14"/>
    <w:rsid w:val="34F61F77"/>
    <w:rsid w:val="350658EB"/>
    <w:rsid w:val="3548404D"/>
    <w:rsid w:val="35721096"/>
    <w:rsid w:val="35EC7249"/>
    <w:rsid w:val="364C3D59"/>
    <w:rsid w:val="36DD6F9F"/>
    <w:rsid w:val="37986203"/>
    <w:rsid w:val="37C6529E"/>
    <w:rsid w:val="384F258A"/>
    <w:rsid w:val="3A246B9B"/>
    <w:rsid w:val="3C24326C"/>
    <w:rsid w:val="3C654BB5"/>
    <w:rsid w:val="3CA67340"/>
    <w:rsid w:val="3D0E3F32"/>
    <w:rsid w:val="3D8100A5"/>
    <w:rsid w:val="3E182152"/>
    <w:rsid w:val="3F4F7722"/>
    <w:rsid w:val="3F9523ED"/>
    <w:rsid w:val="3FCD066B"/>
    <w:rsid w:val="3FEF03D6"/>
    <w:rsid w:val="40561BFB"/>
    <w:rsid w:val="40AD7E16"/>
    <w:rsid w:val="41FD3E29"/>
    <w:rsid w:val="4242097E"/>
    <w:rsid w:val="42600E82"/>
    <w:rsid w:val="42D36C51"/>
    <w:rsid w:val="430E2072"/>
    <w:rsid w:val="43B576DD"/>
    <w:rsid w:val="448320E4"/>
    <w:rsid w:val="4510012C"/>
    <w:rsid w:val="488E15C5"/>
    <w:rsid w:val="489D43BB"/>
    <w:rsid w:val="49102E92"/>
    <w:rsid w:val="49FE225B"/>
    <w:rsid w:val="4A7D67EF"/>
    <w:rsid w:val="4A7F1CD0"/>
    <w:rsid w:val="4B5251A1"/>
    <w:rsid w:val="4B7B4360"/>
    <w:rsid w:val="4C156994"/>
    <w:rsid w:val="4C224ED4"/>
    <w:rsid w:val="4C4B7774"/>
    <w:rsid w:val="4D5D50A1"/>
    <w:rsid w:val="4DA013C1"/>
    <w:rsid w:val="4E044C0B"/>
    <w:rsid w:val="4E134C99"/>
    <w:rsid w:val="4E4062D7"/>
    <w:rsid w:val="4EDB6A25"/>
    <w:rsid w:val="4EDC623A"/>
    <w:rsid w:val="4FA37E96"/>
    <w:rsid w:val="4FC27A55"/>
    <w:rsid w:val="509D6177"/>
    <w:rsid w:val="51181F7A"/>
    <w:rsid w:val="51AF3024"/>
    <w:rsid w:val="52F848CA"/>
    <w:rsid w:val="534010FC"/>
    <w:rsid w:val="53C3756F"/>
    <w:rsid w:val="5622492D"/>
    <w:rsid w:val="56324344"/>
    <w:rsid w:val="56A24FF4"/>
    <w:rsid w:val="59847EEC"/>
    <w:rsid w:val="59872407"/>
    <w:rsid w:val="5A521C48"/>
    <w:rsid w:val="5ACF60FC"/>
    <w:rsid w:val="5B477BBD"/>
    <w:rsid w:val="5D511484"/>
    <w:rsid w:val="5DAD7402"/>
    <w:rsid w:val="5DD60C8D"/>
    <w:rsid w:val="5E7863DA"/>
    <w:rsid w:val="5EB60EC0"/>
    <w:rsid w:val="603C3D4B"/>
    <w:rsid w:val="60411D3A"/>
    <w:rsid w:val="60873B69"/>
    <w:rsid w:val="6095650F"/>
    <w:rsid w:val="60AB1B90"/>
    <w:rsid w:val="60B24E65"/>
    <w:rsid w:val="61B94FCE"/>
    <w:rsid w:val="63492CE2"/>
    <w:rsid w:val="6385750D"/>
    <w:rsid w:val="65A733A9"/>
    <w:rsid w:val="65D86645"/>
    <w:rsid w:val="66041016"/>
    <w:rsid w:val="66564A62"/>
    <w:rsid w:val="669E1249"/>
    <w:rsid w:val="66CF21D7"/>
    <w:rsid w:val="66E83E36"/>
    <w:rsid w:val="675337A2"/>
    <w:rsid w:val="677F1FA1"/>
    <w:rsid w:val="6815286C"/>
    <w:rsid w:val="683E5B31"/>
    <w:rsid w:val="68456BAE"/>
    <w:rsid w:val="68717262"/>
    <w:rsid w:val="68B56971"/>
    <w:rsid w:val="6A221D5B"/>
    <w:rsid w:val="6A3407EC"/>
    <w:rsid w:val="6A7D1DC0"/>
    <w:rsid w:val="6A9676FA"/>
    <w:rsid w:val="6AB426F4"/>
    <w:rsid w:val="6B320D4C"/>
    <w:rsid w:val="6D54524C"/>
    <w:rsid w:val="6E310A95"/>
    <w:rsid w:val="6E981469"/>
    <w:rsid w:val="706B64BA"/>
    <w:rsid w:val="709275B6"/>
    <w:rsid w:val="70E61F39"/>
    <w:rsid w:val="713F4727"/>
    <w:rsid w:val="71AE6CB5"/>
    <w:rsid w:val="724F253E"/>
    <w:rsid w:val="73BA5706"/>
    <w:rsid w:val="74310E31"/>
    <w:rsid w:val="746630B1"/>
    <w:rsid w:val="746C1D4A"/>
    <w:rsid w:val="74880DF2"/>
    <w:rsid w:val="74B44292"/>
    <w:rsid w:val="74E63029"/>
    <w:rsid w:val="75F133A8"/>
    <w:rsid w:val="761060B7"/>
    <w:rsid w:val="767C572B"/>
    <w:rsid w:val="77492B3A"/>
    <w:rsid w:val="774C69E0"/>
    <w:rsid w:val="775F1271"/>
    <w:rsid w:val="77956ABF"/>
    <w:rsid w:val="77982204"/>
    <w:rsid w:val="77D70206"/>
    <w:rsid w:val="78164610"/>
    <w:rsid w:val="781F754D"/>
    <w:rsid w:val="788A2401"/>
    <w:rsid w:val="78DE190C"/>
    <w:rsid w:val="78E6601B"/>
    <w:rsid w:val="79213AE3"/>
    <w:rsid w:val="794321A1"/>
    <w:rsid w:val="79E2563E"/>
    <w:rsid w:val="7A3C5756"/>
    <w:rsid w:val="7A920D7B"/>
    <w:rsid w:val="7BAB785A"/>
    <w:rsid w:val="7C05061D"/>
    <w:rsid w:val="7C341000"/>
    <w:rsid w:val="7C5B37D4"/>
    <w:rsid w:val="7CEB1BBE"/>
    <w:rsid w:val="7CED610A"/>
    <w:rsid w:val="7CF5043F"/>
    <w:rsid w:val="7D087551"/>
    <w:rsid w:val="7D1E4642"/>
    <w:rsid w:val="7D834B30"/>
    <w:rsid w:val="7D9B4CBE"/>
    <w:rsid w:val="7DCA5B2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firstLineChars="200"/>
    </w:pPr>
  </w:style>
  <w:style w:type="paragraph" w:styleId="3">
    <w:name w:val="annotation text"/>
    <w:basedOn w:val="1"/>
    <w:link w:val="11"/>
    <w:semiHidden/>
    <w:qFormat/>
    <w:uiPriority w:val="99"/>
    <w:pPr>
      <w:jc w:val="left"/>
    </w:pPr>
  </w:style>
  <w:style w:type="paragraph" w:styleId="4">
    <w:name w:val="Balloon Text"/>
    <w:basedOn w:val="1"/>
    <w:link w:val="12"/>
    <w:semiHidden/>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批注文字 字符"/>
    <w:basedOn w:val="8"/>
    <w:link w:val="3"/>
    <w:semiHidden/>
    <w:qFormat/>
    <w:uiPriority w:val="99"/>
    <w:rPr>
      <w:rFonts w:ascii="Calibri" w:hAnsi="Calibri" w:cs="Calibri"/>
      <w:szCs w:val="21"/>
    </w:rPr>
  </w:style>
  <w:style w:type="character" w:customStyle="1" w:styleId="12">
    <w:name w:val="批注框文本 字符"/>
    <w:basedOn w:val="8"/>
    <w:link w:val="4"/>
    <w:semiHidden/>
    <w:qFormat/>
    <w:locked/>
    <w:uiPriority w:val="99"/>
    <w:rPr>
      <w:rFonts w:ascii="Calibri" w:hAnsi="Calibri" w:eastAsia="宋体" w:cs="Calibri"/>
      <w:kern w:val="2"/>
      <w:sz w:val="18"/>
      <w:szCs w:val="18"/>
    </w:rPr>
  </w:style>
  <w:style w:type="character" w:customStyle="1" w:styleId="13">
    <w:name w:val="页脚 字符"/>
    <w:basedOn w:val="8"/>
    <w:link w:val="5"/>
    <w:qFormat/>
    <w:locked/>
    <w:uiPriority w:val="99"/>
    <w:rPr>
      <w:sz w:val="18"/>
      <w:szCs w:val="18"/>
    </w:rPr>
  </w:style>
  <w:style w:type="character" w:customStyle="1" w:styleId="14">
    <w:name w:val="页眉 字符"/>
    <w:basedOn w:val="8"/>
    <w:link w:val="6"/>
    <w:qFormat/>
    <w:locked/>
    <w:uiPriority w:val="99"/>
    <w:rPr>
      <w:sz w:val="18"/>
      <w:szCs w:val="18"/>
    </w:rPr>
  </w:style>
  <w:style w:type="character" w:customStyle="1" w:styleId="15">
    <w:name w:val="font21"/>
    <w:basedOn w:val="8"/>
    <w:qFormat/>
    <w:uiPriority w:val="99"/>
    <w:rPr>
      <w:rFonts w:ascii="宋体" w:hAnsi="宋体" w:eastAsia="宋体" w:cs="宋体"/>
      <w:color w:val="000000"/>
      <w:sz w:val="18"/>
      <w:szCs w:val="18"/>
      <w:u w:val="none"/>
    </w:rPr>
  </w:style>
  <w:style w:type="character" w:customStyle="1" w:styleId="16">
    <w:name w:val="font11"/>
    <w:basedOn w:val="8"/>
    <w:qFormat/>
    <w:uiPriority w:val="99"/>
    <w:rPr>
      <w:rFonts w:ascii="宋体" w:hAnsi="宋体" w:eastAsia="宋体" w:cs="宋体"/>
      <w:color w:val="000000"/>
      <w:sz w:val="18"/>
      <w:szCs w:val="18"/>
      <w:u w:val="none"/>
      <w:vertAlign w:val="subscript"/>
    </w:rPr>
  </w:style>
  <w:style w:type="character" w:customStyle="1" w:styleId="17">
    <w:name w:val="font31"/>
    <w:basedOn w:val="8"/>
    <w:qFormat/>
    <w:uiPriority w:val="99"/>
    <w:rPr>
      <w:rFonts w:ascii="宋体" w:hAnsi="宋体" w:eastAsia="宋体" w:cs="宋体"/>
      <w:b/>
      <w:bCs/>
      <w:color w:val="000000"/>
      <w:sz w:val="18"/>
      <w:szCs w:val="18"/>
      <w:u w:val="none"/>
    </w:rPr>
  </w:style>
  <w:style w:type="character" w:customStyle="1" w:styleId="18">
    <w:name w:val="font41"/>
    <w:basedOn w:val="8"/>
    <w:qFormat/>
    <w:uiPriority w:val="99"/>
    <w:rPr>
      <w:rFonts w:ascii="宋体" w:hAnsi="宋体" w:eastAsia="宋体" w:cs="宋体"/>
      <w:color w:val="000000"/>
      <w:sz w:val="18"/>
      <w:szCs w:val="18"/>
      <w:u w:val="none"/>
      <w:vertAlign w:val="superscript"/>
    </w:rPr>
  </w:style>
  <w:style w:type="character" w:customStyle="1" w:styleId="19">
    <w:name w:val="font91"/>
    <w:basedOn w:val="8"/>
    <w:qFormat/>
    <w:uiPriority w:val="99"/>
    <w:rPr>
      <w:rFonts w:ascii="宋体" w:hAnsi="宋体" w:eastAsia="宋体" w:cs="宋体"/>
      <w:color w:val="000000"/>
      <w:sz w:val="20"/>
      <w:szCs w:val="20"/>
      <w:u w:val="none"/>
      <w:vertAlign w:val="subscript"/>
    </w:rPr>
  </w:style>
  <w:style w:type="character" w:customStyle="1" w:styleId="20">
    <w:name w:val="font131"/>
    <w:basedOn w:val="8"/>
    <w:qFormat/>
    <w:uiPriority w:val="99"/>
    <w:rPr>
      <w:rFonts w:ascii="宋体" w:hAnsi="宋体" w:eastAsia="宋体" w:cs="宋体"/>
      <w:color w:val="000000"/>
      <w:sz w:val="20"/>
      <w:szCs w:val="20"/>
      <w:u w:val="none"/>
      <w:vertAlign w:val="superscript"/>
    </w:rPr>
  </w:style>
  <w:style w:type="character" w:customStyle="1" w:styleId="21">
    <w:name w:val="font181"/>
    <w:basedOn w:val="8"/>
    <w:qFormat/>
    <w:uiPriority w:val="99"/>
    <w:rPr>
      <w:rFonts w:ascii="宋体" w:hAnsi="宋体" w:eastAsia="宋体" w:cs="宋体"/>
      <w:b/>
      <w:bCs/>
      <w:color w:val="FF0000"/>
      <w:sz w:val="20"/>
      <w:szCs w:val="20"/>
      <w:u w:val="none"/>
    </w:rPr>
  </w:style>
  <w:style w:type="character" w:customStyle="1" w:styleId="22">
    <w:name w:val="font281"/>
    <w:basedOn w:val="8"/>
    <w:qFormat/>
    <w:uiPriority w:val="99"/>
    <w:rPr>
      <w:rFonts w:ascii="宋体" w:hAnsi="宋体" w:eastAsia="宋体" w:cs="宋体"/>
      <w:b/>
      <w:bCs/>
      <w:color w:val="000000"/>
      <w:sz w:val="20"/>
      <w:szCs w:val="20"/>
      <w:u w:val="none"/>
    </w:rPr>
  </w:style>
  <w:style w:type="character" w:customStyle="1" w:styleId="23">
    <w:name w:val="font221"/>
    <w:basedOn w:val="8"/>
    <w:qFormat/>
    <w:uiPriority w:val="99"/>
    <w:rPr>
      <w:rFonts w:ascii="宋体" w:hAnsi="宋体" w:eastAsia="宋体" w:cs="宋体"/>
      <w:color w:val="000000"/>
      <w:sz w:val="20"/>
      <w:szCs w:val="20"/>
      <w:u w:val="none"/>
    </w:rPr>
  </w:style>
  <w:style w:type="character" w:customStyle="1" w:styleId="24">
    <w:name w:val="font61"/>
    <w:basedOn w:val="8"/>
    <w:qFormat/>
    <w:uiPriority w:val="99"/>
    <w:rPr>
      <w:rFonts w:ascii="宋体" w:hAnsi="宋体" w:eastAsia="宋体" w:cs="宋体"/>
      <w:color w:val="000000"/>
      <w:sz w:val="20"/>
      <w:szCs w:val="20"/>
      <w:u w:val="none"/>
    </w:rPr>
  </w:style>
  <w:style w:type="character" w:customStyle="1" w:styleId="25">
    <w:name w:val="font241"/>
    <w:basedOn w:val="8"/>
    <w:qFormat/>
    <w:uiPriority w:val="99"/>
    <w:rPr>
      <w:rFonts w:ascii="宋体" w:hAnsi="宋体" w:eastAsia="宋体" w:cs="宋体"/>
      <w:color w:val="000000"/>
      <w:sz w:val="20"/>
      <w:szCs w:val="20"/>
      <w:u w:val="none"/>
      <w:vertAlign w:val="subscript"/>
    </w:rPr>
  </w:style>
  <w:style w:type="character" w:customStyle="1" w:styleId="26">
    <w:name w:val="font212"/>
    <w:basedOn w:val="8"/>
    <w:qFormat/>
    <w:uiPriority w:val="99"/>
    <w:rPr>
      <w:rFonts w:ascii="宋体" w:hAnsi="宋体" w:eastAsia="宋体" w:cs="宋体"/>
      <w:color w:val="FF0000"/>
      <w:sz w:val="20"/>
      <w:szCs w:val="20"/>
      <w:u w:val="none"/>
    </w:rPr>
  </w:style>
  <w:style w:type="character" w:customStyle="1" w:styleId="27">
    <w:name w:val="font201"/>
    <w:basedOn w:val="8"/>
    <w:qFormat/>
    <w:uiPriority w:val="99"/>
    <w:rPr>
      <w:rFonts w:ascii="宋体" w:hAnsi="宋体" w:eastAsia="宋体" w:cs="宋体"/>
      <w:color w:val="000000"/>
      <w:sz w:val="18"/>
      <w:szCs w:val="18"/>
      <w:u w:val="none"/>
    </w:rPr>
  </w:style>
  <w:style w:type="character" w:customStyle="1" w:styleId="28">
    <w:name w:val="font261"/>
    <w:basedOn w:val="8"/>
    <w:qFormat/>
    <w:uiPriority w:val="99"/>
    <w:rPr>
      <w:rFonts w:ascii="宋体" w:hAnsi="宋体" w:eastAsia="宋体" w:cs="宋体"/>
      <w:color w:val="000000"/>
      <w:sz w:val="18"/>
      <w:szCs w:val="18"/>
      <w:u w:val="none"/>
      <w:vertAlign w:val="superscript"/>
    </w:rPr>
  </w:style>
  <w:style w:type="character" w:customStyle="1" w:styleId="29">
    <w:name w:val="font171"/>
    <w:basedOn w:val="8"/>
    <w:qFormat/>
    <w:uiPriority w:val="99"/>
    <w:rPr>
      <w:rFonts w:ascii="宋体" w:hAnsi="宋体" w:eastAsia="宋体" w:cs="宋体"/>
      <w:color w:val="000000"/>
      <w:sz w:val="18"/>
      <w:szCs w:val="18"/>
      <w:u w:val="none"/>
    </w:rPr>
  </w:style>
  <w:style w:type="character" w:customStyle="1" w:styleId="30">
    <w:name w:val="font81"/>
    <w:basedOn w:val="8"/>
    <w:qFormat/>
    <w:uiPriority w:val="99"/>
    <w:rPr>
      <w:rFonts w:ascii="宋体" w:hAnsi="宋体" w:eastAsia="宋体" w:cs="宋体"/>
      <w:b/>
      <w:bCs/>
      <w:color w:val="000000"/>
      <w:sz w:val="20"/>
      <w:szCs w:val="20"/>
      <w:u w:val="none"/>
    </w:rPr>
  </w:style>
  <w:style w:type="character" w:customStyle="1" w:styleId="31">
    <w:name w:val="font01"/>
    <w:basedOn w:val="8"/>
    <w:qFormat/>
    <w:uiPriority w:val="99"/>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5</Pages>
  <Words>3276</Words>
  <Characters>3911</Characters>
  <Lines>6</Lines>
  <Paragraphs>1</Paragraphs>
  <TotalTime>0</TotalTime>
  <ScaleCrop>false</ScaleCrop>
  <LinksUpToDate>false</LinksUpToDate>
  <CharactersWithSpaces>4023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2017-09-01T08:15:00Z</dcterms:created>
  <dc:creator>SDWM</dc:creator>
  <cp:lastModifiedBy>Administrator</cp:lastModifiedBy>
  <cp:lastPrinted>2016-11-22T01:43:00Z</cp:lastPrinted>
  <dcterms:modified xsi:type="dcterms:W3CDTF">2024-04-07T03:16:13Z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C6E80515929240448EA49D8474097779_13</vt:lpwstr>
  </property>
</Properties>
</file>