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美妆赋能清单</w:t>
      </w:r>
    </w:p>
    <w:tbl>
      <w:tblPr>
        <w:tblStyle w:val="3"/>
        <w:tblW w:w="8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5031"/>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5031"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内容</w:t>
            </w:r>
          </w:p>
        </w:tc>
        <w:tc>
          <w:tcPr>
            <w:tcW w:w="2089"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5031" w:type="dxa"/>
          </w:tcPr>
          <w:p>
            <w:pPr>
              <w:numPr>
                <w:ilvl w:val="0"/>
                <w:numId w:val="1"/>
              </w:num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vertAlign w:val="baseline"/>
                <w:lang w:val="en-US" w:eastAsia="zh-CN"/>
              </w:rPr>
              <w:t>加强对《化妆品监督管理条例》《化妆品生产经营监督管理办法》等相关法规宣贯；</w:t>
            </w:r>
          </w:p>
          <w:p>
            <w:pPr>
              <w:numPr>
                <w:ilvl w:val="0"/>
                <w:numId w:val="1"/>
              </w:num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vertAlign w:val="baseline"/>
                <w:lang w:val="en-US" w:eastAsia="zh-CN"/>
              </w:rPr>
              <w:t>牵头负责</w:t>
            </w:r>
            <w:r>
              <w:rPr>
                <w:rFonts w:hint="eastAsia" w:ascii="仿宋_GB2312" w:hAnsi="仿宋_GB2312" w:eastAsia="仿宋_GB2312" w:cs="仿宋_GB2312"/>
                <w:color w:val="auto"/>
                <w:sz w:val="24"/>
                <w:szCs w:val="24"/>
              </w:rPr>
              <w:t>海珠区化妆品电商综合服务</w:t>
            </w:r>
            <w:r>
              <w:rPr>
                <w:rFonts w:hint="eastAsia" w:ascii="仿宋_GB2312" w:hAnsi="仿宋_GB2312" w:eastAsia="仿宋_GB2312" w:cs="仿宋_GB2312"/>
                <w:color w:val="auto"/>
                <w:sz w:val="24"/>
                <w:szCs w:val="24"/>
                <w:lang w:eastAsia="zh-CN"/>
              </w:rPr>
              <w:t>站</w:t>
            </w:r>
            <w:r>
              <w:rPr>
                <w:rFonts w:hint="eastAsia" w:ascii="仿宋_GB2312" w:hAnsi="仿宋_GB2312" w:eastAsia="仿宋_GB2312" w:cs="仿宋_GB2312"/>
                <w:color w:val="auto"/>
                <w:sz w:val="24"/>
                <w:szCs w:val="24"/>
                <w:lang w:val="en-US" w:eastAsia="zh-CN"/>
              </w:rPr>
              <w:t>2.0组织协调工作；</w:t>
            </w:r>
          </w:p>
          <w:p>
            <w:pPr>
              <w:numPr>
                <w:ilvl w:val="0"/>
                <w:numId w:val="1"/>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落实“链长”工作制，加强对美妆日化分链链主的支持与帮扶；</w:t>
            </w:r>
          </w:p>
          <w:p>
            <w:pPr>
              <w:numPr>
                <w:ilvl w:val="0"/>
                <w:numId w:val="1"/>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结合日常监管和专项行动，在监管过程中，通过接受网上咨询、走访、约谈、法律法规宣讲等多种形式开展合规建设普法工作；</w:t>
            </w:r>
          </w:p>
          <w:p>
            <w:pPr>
              <w:numPr>
                <w:ilvl w:val="0"/>
                <w:numId w:val="1"/>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牵头制定美妆电商产业高质量发展相关政策措施；</w:t>
            </w:r>
          </w:p>
          <w:p>
            <w:pPr>
              <w:numPr>
                <w:ilvl w:val="0"/>
                <w:numId w:val="1"/>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落实海珠区化妆品备案咨询服务工作站工作,线上线下实时响应企业咨询诉求；</w:t>
            </w:r>
          </w:p>
          <w:p>
            <w:pPr>
              <w:numPr>
                <w:ilvl w:val="0"/>
                <w:numId w:val="1"/>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牵头组织海珠区化妆品企业春/秋季交流会议/活动；</w:t>
            </w:r>
          </w:p>
          <w:p>
            <w:pPr>
              <w:numPr>
                <w:ilvl w:val="0"/>
                <w:numId w:val="1"/>
              </w:numPr>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按照上级部门要求组织广州国际美妆周海珠分会场活动；</w:t>
            </w:r>
          </w:p>
          <w:p>
            <w:pPr>
              <w:numPr>
                <w:ilvl w:val="0"/>
                <w:numId w:val="1"/>
              </w:numPr>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协助推荐符合条件的海珠区化妆品企业加入化妆品行业服务重点企业名单；</w:t>
            </w:r>
          </w:p>
          <w:p>
            <w:pPr>
              <w:numPr>
                <w:ilvl w:val="0"/>
                <w:numId w:val="1"/>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加强与区内相关职能部门协调，加强资源对接与共享。</w:t>
            </w:r>
          </w:p>
        </w:tc>
        <w:tc>
          <w:tcPr>
            <w:tcW w:w="208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药品和化妆品安全监管科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5031" w:type="dxa"/>
          </w:tcPr>
          <w:p>
            <w:pPr>
              <w:numPr>
                <w:ilvl w:val="0"/>
                <w:numId w:val="2"/>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做好两法衔接工作，案件达到刑事立案追诉标准按规定移送公安机关处理；</w:t>
            </w:r>
          </w:p>
          <w:p>
            <w:pPr>
              <w:numPr>
                <w:ilvl w:val="0"/>
                <w:numId w:val="2"/>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做好执法统筹协调工作，涉及外区的案件按规定向市局申请指定管辖；</w:t>
            </w:r>
          </w:p>
          <w:p>
            <w:pPr>
              <w:numPr>
                <w:ilvl w:val="0"/>
                <w:numId w:val="2"/>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制定并下发2024年关于进一步加强药械化案件、食品安全违法案件查办工作的通知；</w:t>
            </w:r>
          </w:p>
          <w:p>
            <w:pPr>
              <w:numPr>
                <w:ilvl w:val="0"/>
                <w:numId w:val="2"/>
              </w:numPr>
              <w:ind w:left="0" w:leftChars="0" w:firstLine="0" w:firstLineChars="0"/>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结合双打工作方案加强对化妆品违法行为的执法打击力度，进一步规范市场经营行为，强化两法衔接，优化营商环境。</w:t>
            </w:r>
          </w:p>
        </w:tc>
        <w:tc>
          <w:tcPr>
            <w:tcW w:w="208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执法监督科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5031" w:type="dxa"/>
          </w:tcPr>
          <w:p>
            <w:pPr>
              <w:numPr>
                <w:ilvl w:val="0"/>
                <w:numId w:val="3"/>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加强对《企业信息公示暂行条例》《企业经营异常名录管理暂行办法》等法规的宣贯；</w:t>
            </w:r>
          </w:p>
          <w:p>
            <w:pPr>
              <w:numPr>
                <w:ilvl w:val="0"/>
                <w:numId w:val="3"/>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引导海珠区化妆品企业年度报告填报工作；</w:t>
            </w:r>
          </w:p>
          <w:p>
            <w:pPr>
              <w:numPr>
                <w:ilvl w:val="0"/>
                <w:numId w:val="0"/>
              </w:numPr>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3、指引海珠区化妆品企业处理经营异常名录；</w:t>
            </w:r>
          </w:p>
          <w:p>
            <w:pPr>
              <w:numPr>
                <w:ilvl w:val="0"/>
                <w:numId w:val="0"/>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4、增强区内企业信用意识，修复行政处罚案件公告信息；</w:t>
            </w:r>
          </w:p>
          <w:p>
            <w:pPr>
              <w:numPr>
                <w:ilvl w:val="0"/>
                <w:numId w:val="0"/>
              </w:numPr>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5、协助推荐符合条件的辖区企业加入市级服务业重点企业白名单。</w:t>
            </w:r>
          </w:p>
        </w:tc>
        <w:tc>
          <w:tcPr>
            <w:tcW w:w="208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信用风险监管科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5031" w:type="dxa"/>
          </w:tcPr>
          <w:p>
            <w:pPr>
              <w:numPr>
                <w:ilvl w:val="0"/>
                <w:numId w:val="4"/>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加强对《中华人民共和国反不正当竞争法》《中华人民共和国价格法》等相关法律法规的宣贯；</w:t>
            </w:r>
          </w:p>
          <w:p>
            <w:pPr>
              <w:numPr>
                <w:ilvl w:val="0"/>
                <w:numId w:val="4"/>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通过企业走访、培训、座谈、指导维权等方式，解答化妆品企业宣传营销、商业秘密保护、价格等方面疑问，提升其守法合规经营及维权意识；</w:t>
            </w:r>
          </w:p>
          <w:p>
            <w:pPr>
              <w:numPr>
                <w:ilvl w:val="0"/>
                <w:numId w:val="4"/>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针对企业反映的维权诉求及线索，组织辖区市场监管所、执法大队依法核查处置。</w:t>
            </w:r>
          </w:p>
        </w:tc>
        <w:tc>
          <w:tcPr>
            <w:tcW w:w="208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价格监查与反不正当竞争科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5031" w:type="dxa"/>
          </w:tcPr>
          <w:p>
            <w:pPr>
              <w:numPr>
                <w:ilvl w:val="0"/>
                <w:numId w:val="5"/>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加强对《中华人民共和国电子商务法》《网络交易监督管理办法》等法规宣贯；</w:t>
            </w:r>
          </w:p>
          <w:p>
            <w:pPr>
              <w:numPr>
                <w:ilvl w:val="0"/>
                <w:numId w:val="5"/>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对化妆品电商企业合规经营的指导；</w:t>
            </w:r>
          </w:p>
          <w:p>
            <w:pPr>
              <w:numPr>
                <w:ilvl w:val="0"/>
                <w:numId w:val="0"/>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3、指导化妆品电商企业对侵权行为进行电子固证。</w:t>
            </w:r>
          </w:p>
        </w:tc>
        <w:tc>
          <w:tcPr>
            <w:tcW w:w="208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网络交易监管科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5031" w:type="dxa"/>
          </w:tcPr>
          <w:p>
            <w:pPr>
              <w:numPr>
                <w:ilvl w:val="0"/>
                <w:numId w:val="0"/>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1、开展知识产权普法宣传；</w:t>
            </w:r>
          </w:p>
          <w:p>
            <w:pPr>
              <w:numPr>
                <w:ilvl w:val="0"/>
                <w:numId w:val="0"/>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2、为美博会等大型展会的顺利举办提供知识产权保护服务；</w:t>
            </w:r>
          </w:p>
          <w:p>
            <w:pPr>
              <w:numPr>
                <w:ilvl w:val="0"/>
                <w:numId w:val="0"/>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3、指导化妆品企业依法保护知识产权，提供业务指导。</w:t>
            </w:r>
          </w:p>
          <w:p>
            <w:pPr>
              <w:numPr>
                <w:ilvl w:val="0"/>
                <w:numId w:val="0"/>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4.继续推进知识产权被侵权保险工作。</w:t>
            </w:r>
          </w:p>
        </w:tc>
        <w:tc>
          <w:tcPr>
            <w:tcW w:w="208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知识产权促进保护科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5031" w:type="dxa"/>
          </w:tcPr>
          <w:p>
            <w:pPr>
              <w:numPr>
                <w:ilvl w:val="0"/>
                <w:numId w:val="6"/>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加强对《中华人民共和国广告法》《互联网广告管理办法》等广告相关法律法规的宣贯，</w:t>
            </w:r>
          </w:p>
          <w:p>
            <w:pPr>
              <w:numPr>
                <w:ilvl w:val="0"/>
                <w:numId w:val="6"/>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通过走访、培训等方式，解答化妆品企业广告内容方面疑问，提升其守法合规经营意识。</w:t>
            </w:r>
          </w:p>
        </w:tc>
        <w:tc>
          <w:tcPr>
            <w:tcW w:w="2089" w:type="dxa"/>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广告监管科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5031" w:type="dxa"/>
          </w:tcPr>
          <w:p>
            <w:pPr>
              <w:numPr>
                <w:ilvl w:val="0"/>
                <w:numId w:val="0"/>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1、接收消费者投诉、举报；</w:t>
            </w:r>
          </w:p>
          <w:p>
            <w:pPr>
              <w:numPr>
                <w:ilvl w:val="0"/>
                <w:numId w:val="0"/>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2、指导市场监管所，为符合要求的企业建开通“平台在线消费纠纷解决”（Online Dispute Resolution，简称：ODR）企业账号，通过“ODR”系统减少中间环节的沟通成本，直接在线处理投诉、和解消费纠纷，将消费纠纷化解在源头,建立和谐消费关系。</w:t>
            </w:r>
          </w:p>
        </w:tc>
        <w:tc>
          <w:tcPr>
            <w:tcW w:w="2089" w:type="dxa"/>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12315中心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9" w:type="dxa"/>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5031" w:type="dxa"/>
          </w:tcPr>
          <w:p>
            <w:pPr>
              <w:numPr>
                <w:ilvl w:val="0"/>
                <w:numId w:val="7"/>
              </w:num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指导化妆品电商企业做好经营相关的合规性审查工作；</w:t>
            </w:r>
          </w:p>
          <w:p>
            <w:pPr>
              <w:numPr>
                <w:ilvl w:val="0"/>
                <w:numId w:val="7"/>
              </w:numPr>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对涉及化妆品电商企业的职业投诉举报相关数据进行收集、统计、分析，指导企业妥善应对职业举报人，营造良好营商环境；</w:t>
            </w:r>
          </w:p>
          <w:p>
            <w:pPr>
              <w:numPr>
                <w:ilvl w:val="0"/>
                <w:numId w:val="7"/>
              </w:numPr>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加强与企业之间的沟通，深入探讨如何维护消费者权益，提升化妆品电商企业在消费者心目中的形象；</w:t>
            </w:r>
          </w:p>
          <w:p>
            <w:pPr>
              <w:numPr>
                <w:ilvl w:val="0"/>
                <w:numId w:val="7"/>
              </w:numPr>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配合各相关科室落实各项助企、服务工作。</w:t>
            </w:r>
          </w:p>
          <w:p>
            <w:pPr>
              <w:numPr>
                <w:ilvl w:val="0"/>
                <w:numId w:val="0"/>
              </w:numPr>
              <w:jc w:val="left"/>
              <w:rPr>
                <w:rFonts w:hint="eastAsia" w:ascii="仿宋_GB2312" w:hAnsi="仿宋_GB2312" w:eastAsia="仿宋_GB2312" w:cs="仿宋_GB2312"/>
                <w:color w:val="auto"/>
                <w:sz w:val="24"/>
                <w:szCs w:val="24"/>
                <w:vertAlign w:val="baseline"/>
                <w:lang w:val="en-US" w:eastAsia="zh-CN"/>
              </w:rPr>
            </w:pPr>
          </w:p>
        </w:tc>
        <w:tc>
          <w:tcPr>
            <w:tcW w:w="2089" w:type="dxa"/>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市场监管所</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03EFE5"/>
    <w:multiLevelType w:val="singleLevel"/>
    <w:tmpl w:val="F303EFE5"/>
    <w:lvl w:ilvl="0" w:tentative="0">
      <w:start w:val="1"/>
      <w:numFmt w:val="decimal"/>
      <w:suff w:val="nothing"/>
      <w:lvlText w:val="%1、"/>
      <w:lvlJc w:val="left"/>
    </w:lvl>
  </w:abstractNum>
  <w:abstractNum w:abstractNumId="1">
    <w:nsid w:val="FD9766C9"/>
    <w:multiLevelType w:val="singleLevel"/>
    <w:tmpl w:val="FD9766C9"/>
    <w:lvl w:ilvl="0" w:tentative="0">
      <w:start w:val="1"/>
      <w:numFmt w:val="decimal"/>
      <w:suff w:val="nothing"/>
      <w:lvlText w:val="%1、"/>
      <w:lvlJc w:val="left"/>
    </w:lvl>
  </w:abstractNum>
  <w:abstractNum w:abstractNumId="2">
    <w:nsid w:val="FF0AE7E9"/>
    <w:multiLevelType w:val="singleLevel"/>
    <w:tmpl w:val="FF0AE7E9"/>
    <w:lvl w:ilvl="0" w:tentative="0">
      <w:start w:val="1"/>
      <w:numFmt w:val="decimal"/>
      <w:suff w:val="nothing"/>
      <w:lvlText w:val="%1、"/>
      <w:lvlJc w:val="left"/>
    </w:lvl>
  </w:abstractNum>
  <w:abstractNum w:abstractNumId="3">
    <w:nsid w:val="01548F0E"/>
    <w:multiLevelType w:val="singleLevel"/>
    <w:tmpl w:val="01548F0E"/>
    <w:lvl w:ilvl="0" w:tentative="0">
      <w:start w:val="1"/>
      <w:numFmt w:val="decimal"/>
      <w:suff w:val="nothing"/>
      <w:lvlText w:val="%1、"/>
      <w:lvlJc w:val="left"/>
    </w:lvl>
  </w:abstractNum>
  <w:abstractNum w:abstractNumId="4">
    <w:nsid w:val="091BB4E1"/>
    <w:multiLevelType w:val="singleLevel"/>
    <w:tmpl w:val="091BB4E1"/>
    <w:lvl w:ilvl="0" w:tentative="0">
      <w:start w:val="1"/>
      <w:numFmt w:val="decimal"/>
      <w:suff w:val="nothing"/>
      <w:lvlText w:val="%1、"/>
      <w:lvlJc w:val="left"/>
    </w:lvl>
  </w:abstractNum>
  <w:abstractNum w:abstractNumId="5">
    <w:nsid w:val="3B0A86C6"/>
    <w:multiLevelType w:val="singleLevel"/>
    <w:tmpl w:val="3B0A86C6"/>
    <w:lvl w:ilvl="0" w:tentative="0">
      <w:start w:val="1"/>
      <w:numFmt w:val="decimal"/>
      <w:suff w:val="nothing"/>
      <w:lvlText w:val="%1、"/>
      <w:lvlJc w:val="left"/>
    </w:lvl>
  </w:abstractNum>
  <w:abstractNum w:abstractNumId="6">
    <w:nsid w:val="4DD5270A"/>
    <w:multiLevelType w:val="singleLevel"/>
    <w:tmpl w:val="4DD5270A"/>
    <w:lvl w:ilvl="0" w:tentative="0">
      <w:start w:val="1"/>
      <w:numFmt w:val="decimal"/>
      <w:suff w:val="nothing"/>
      <w:lvlText w:val="%1、"/>
      <w:lvlJc w:val="left"/>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C6FA4"/>
    <w:rsid w:val="196F088F"/>
    <w:rsid w:val="3E031BD9"/>
    <w:rsid w:val="4DC12434"/>
    <w:rsid w:val="51C92DB6"/>
    <w:rsid w:val="564029A1"/>
    <w:rsid w:val="69AC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区市场和质量监管局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2024-04-15T08:03:00Z</dcterms:created>
  <dc:creator>luomx</dc:creator>
  <cp:lastModifiedBy>1</cp:lastModifiedBy>
  <dcterms:modified xsi:type="dcterms:W3CDTF">2024-04-19T06:38:06Z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