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黑体" w:cs="Times New Roman"/>
          <w:bCs/>
          <w:lang w:val="en-US" w:eastAsia="zh-CN"/>
        </w:rPr>
      </w:pPr>
      <w:r>
        <w:rPr>
          <w:rFonts w:hint="default" w:ascii="Times New Roman" w:hAnsi="Times New Roman" w:eastAsia="黑体" w:cs="Times New Roman"/>
          <w:bCs/>
        </w:rPr>
        <w:t>附件</w:t>
      </w:r>
      <w:r>
        <w:rPr>
          <w:rFonts w:hint="default" w:ascii="Times New Roman" w:hAnsi="Times New Roman" w:eastAsia="黑体" w:cs="Times New Roman"/>
          <w:bCs/>
          <w:lang w:val="en-US" w:eastAsia="zh-CN"/>
        </w:rPr>
        <w:t>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关于广州市海珠区2023年度第七批次城市建设用地（广州市轨道交通十一号线石赤中间风井）项目被征地人员养老保障方案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kern w:val="0"/>
        </w:rPr>
      </w:pP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cs="Times New Roman"/>
          <w:u w:val="single"/>
        </w:rPr>
      </w:pPr>
      <w:r>
        <w:rPr>
          <w:rFonts w:hint="default" w:ascii="Times New Roman" w:hAnsi="Times New Roman" w:cs="Times New Roman"/>
          <w:kern w:val="0"/>
        </w:rPr>
        <w:t>依照《中华人民共和国土地管理法</w:t>
      </w:r>
      <w:r>
        <w:rPr>
          <w:rFonts w:hint="default" w:ascii="Times New Roman" w:hAnsi="Times New Roman" w:cs="Times New Roman"/>
          <w:kern w:val="0"/>
          <w:lang w:eastAsia="zh-CN"/>
        </w:rPr>
        <w:t>》《</w:t>
      </w:r>
      <w:r>
        <w:rPr>
          <w:rFonts w:hint="default" w:ascii="Times New Roman" w:hAnsi="Times New Roman" w:cs="Times New Roman"/>
          <w:kern w:val="0"/>
        </w:rPr>
        <w:t>关于切实做好被征地农民社会保障工作有关问题的通知》（劳社部发〔2007〕14号，下称劳社部发〔2007〕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海珠区2023年度第七批次城市建设用地（广州市轨道交通十一号线石赤中间风井）项目被征地</w:t>
      </w:r>
      <w:r>
        <w:rPr>
          <w:rFonts w:hint="default" w:ascii="Times New Roman" w:hAnsi="Times New Roman" w:cs="Times New Roman"/>
          <w:kern w:val="0"/>
          <w:lang w:eastAsia="zh-CN"/>
        </w:rPr>
        <w:t>人员</w:t>
      </w:r>
      <w:r>
        <w:rPr>
          <w:rFonts w:hint="default" w:ascii="Times New Roman" w:hAnsi="Times New Roman" w:cs="Times New Roman"/>
          <w:kern w:val="0"/>
        </w:rPr>
        <w:t>养老保障方案如下：</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cs="Times New Roman"/>
          <w:kern w:val="0"/>
        </w:rPr>
      </w:pPr>
      <w:r>
        <w:rPr>
          <w:rFonts w:hint="default" w:ascii="Times New Roman" w:hAnsi="Times New Roman" w:cs="Times New Roman"/>
          <w:kern w:val="0"/>
        </w:rPr>
        <w:t>一、对广州市海珠区2023年度第七批次城市建设用地（广州市轨道交通十一号线石赤中间风井）项目涉及</w:t>
      </w:r>
      <w:r>
        <w:rPr>
          <w:rFonts w:hint="default" w:ascii="Times New Roman" w:hAnsi="Times New Roman" w:cs="Times New Roman"/>
        </w:rPr>
        <w:t>的被</w:t>
      </w:r>
      <w:r>
        <w:rPr>
          <w:rFonts w:hint="default" w:ascii="Times New Roman" w:hAnsi="Times New Roman" w:cs="Times New Roman"/>
          <w:kern w:val="0"/>
        </w:rPr>
        <w:t>征地人员实施社会养老保</w:t>
      </w:r>
      <w:r>
        <w:rPr>
          <w:rFonts w:hint="default" w:ascii="Times New Roman" w:hAnsi="Times New Roman" w:cs="Times New Roman"/>
          <w:kern w:val="0"/>
          <w:lang w:eastAsia="zh-CN"/>
        </w:rPr>
        <w:t>障</w:t>
      </w:r>
      <w:r>
        <w:rPr>
          <w:rFonts w:hint="default" w:ascii="Times New Roman" w:hAnsi="Times New Roman" w:cs="Times New Roman"/>
          <w:kern w:val="0"/>
        </w:rPr>
        <w:t>。</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both"/>
        <w:textAlignment w:val="auto"/>
        <w:rPr>
          <w:rFonts w:hint="default" w:ascii="Times New Roman" w:hAnsi="Times New Roman" w:cs="Times New Roman"/>
        </w:rPr>
      </w:pPr>
      <w:r>
        <w:rPr>
          <w:rFonts w:hint="default" w:ascii="Times New Roman" w:hAnsi="Times New Roman" w:cs="Times New Roman"/>
          <w:kern w:val="0"/>
        </w:rPr>
        <w:t>二、征地社保费筹集。依据广州市规划和自然资源局海珠区分</w:t>
      </w:r>
      <w:r>
        <w:rPr>
          <w:rFonts w:hint="default" w:ascii="Times New Roman" w:hAnsi="Times New Roman" w:cs="Times New Roman"/>
          <w:kern w:val="0"/>
          <w:highlight w:val="none"/>
        </w:rPr>
        <w:t>局提供情况，该项目征收我区官洲街赤沙第七经济合作社共0.912亩</w:t>
      </w:r>
      <w:r>
        <w:rPr>
          <w:rFonts w:hint="default" w:ascii="Times New Roman" w:hAnsi="Times New Roman" w:cs="Times New Roman"/>
          <w:color w:val="auto"/>
          <w:kern w:val="0"/>
          <w:highlight w:val="none"/>
        </w:rPr>
        <w:t>，其中</w:t>
      </w:r>
      <w:r>
        <w:rPr>
          <w:rFonts w:hint="default" w:ascii="Times New Roman" w:hAnsi="Times New Roman" w:cs="Times New Roman"/>
          <w:color w:val="auto"/>
          <w:kern w:val="0"/>
          <w:highlight w:val="none"/>
          <w:lang w:val="en-US" w:eastAsia="zh-CN"/>
        </w:rPr>
        <w:t>0</w:t>
      </w:r>
      <w:r>
        <w:rPr>
          <w:rFonts w:hint="default" w:ascii="Times New Roman" w:hAnsi="Times New Roman" w:cs="Times New Roman"/>
          <w:color w:val="auto"/>
          <w:kern w:val="0"/>
          <w:highlight w:val="none"/>
        </w:rPr>
        <w:t>亩属于农村集体经济组织留用地</w:t>
      </w:r>
      <w:r>
        <w:rPr>
          <w:rFonts w:hint="default" w:ascii="Times New Roman" w:hAnsi="Times New Roman" w:cs="Times New Roman"/>
          <w:color w:val="auto"/>
          <w:kern w:val="0"/>
          <w:highlight w:val="none"/>
          <w:lang w:eastAsia="zh-CN"/>
        </w:rPr>
        <w:t>。征地双方于202</w:t>
      </w:r>
      <w:r>
        <w:rPr>
          <w:rFonts w:hint="default" w:ascii="Times New Roman" w:hAnsi="Times New Roman" w:cs="Times New Roman"/>
          <w:color w:val="auto"/>
          <w:kern w:val="0"/>
          <w:highlight w:val="none"/>
          <w:lang w:val="en-US" w:eastAsia="zh-CN"/>
        </w:rPr>
        <w:t>3</w:t>
      </w:r>
      <w:r>
        <w:rPr>
          <w:rFonts w:hint="default" w:ascii="Times New Roman" w:hAnsi="Times New Roman" w:cs="Times New Roman"/>
          <w:color w:val="auto"/>
          <w:kern w:val="0"/>
          <w:highlight w:val="none"/>
          <w:lang w:eastAsia="zh-CN"/>
        </w:rPr>
        <w:t>年</w:t>
      </w:r>
      <w:r>
        <w:rPr>
          <w:rFonts w:hint="default" w:ascii="Times New Roman" w:hAnsi="Times New Roman" w:cs="Times New Roman"/>
          <w:color w:val="auto"/>
          <w:kern w:val="0"/>
          <w:highlight w:val="none"/>
          <w:lang w:val="en-US" w:eastAsia="zh-CN"/>
        </w:rPr>
        <w:t>11</w:t>
      </w:r>
      <w:r>
        <w:rPr>
          <w:rFonts w:hint="default" w:ascii="Times New Roman" w:hAnsi="Times New Roman" w:cs="Times New Roman"/>
          <w:color w:val="auto"/>
          <w:kern w:val="0"/>
          <w:highlight w:val="none"/>
          <w:lang w:eastAsia="zh-CN"/>
        </w:rPr>
        <w:t>月完成征地补偿安置协议（海征十一号线拆协字〔2023〕</w:t>
      </w:r>
      <w:r>
        <w:rPr>
          <w:rFonts w:hint="default" w:ascii="Times New Roman" w:hAnsi="Times New Roman" w:cs="Times New Roman"/>
          <w:color w:val="auto"/>
          <w:kern w:val="0"/>
          <w:highlight w:val="none"/>
          <w:lang w:val="en-US" w:eastAsia="zh-CN"/>
        </w:rPr>
        <w:t>27</w:t>
      </w:r>
      <w:r>
        <w:rPr>
          <w:rFonts w:hint="default" w:ascii="Times New Roman" w:hAnsi="Times New Roman" w:cs="Times New Roman"/>
          <w:color w:val="auto"/>
          <w:kern w:val="0"/>
          <w:highlight w:val="none"/>
          <w:lang w:eastAsia="zh-CN"/>
        </w:rPr>
        <w:t>号）签订（不含补充协议）。</w:t>
      </w:r>
      <w:r>
        <w:rPr>
          <w:rFonts w:hint="default" w:ascii="Times New Roman" w:hAnsi="Times New Roman" w:cs="Times New Roman"/>
          <w:kern w:val="0"/>
          <w:highlight w:val="none"/>
        </w:rPr>
        <w:t>该项目征地社保费应按</w:t>
      </w:r>
      <w:r>
        <w:rPr>
          <w:rFonts w:hint="default" w:ascii="Times New Roman" w:hAnsi="Times New Roman" w:cs="Times New Roman"/>
          <w:kern w:val="0"/>
          <w:highlight w:val="none"/>
          <w:lang w:val="en-US" w:eastAsia="zh-CN"/>
        </w:rPr>
        <w:t>5.50</w:t>
      </w:r>
      <w:r>
        <w:rPr>
          <w:rFonts w:hint="default" w:ascii="Times New Roman" w:hAnsi="Times New Roman" w:cs="Times New Roman"/>
          <w:kern w:val="0"/>
          <w:highlight w:val="none"/>
        </w:rPr>
        <w:t>万/亩的标准计提（即</w:t>
      </w:r>
      <w:r>
        <w:rPr>
          <w:rFonts w:hint="default" w:ascii="Times New Roman" w:hAnsi="Times New Roman" w:cs="Times New Roman"/>
          <w:kern w:val="0"/>
          <w:highlight w:val="none"/>
          <w:lang w:val="en-US" w:eastAsia="zh-CN"/>
        </w:rPr>
        <w:t>按</w:t>
      </w:r>
      <w:r>
        <w:rPr>
          <w:rFonts w:hint="default" w:ascii="Times New Roman" w:hAnsi="Times New Roman" w:cs="Times New Roman"/>
          <w:kern w:val="0"/>
          <w:highlight w:val="none"/>
        </w:rPr>
        <w:t>征地补偿安置</w:t>
      </w:r>
      <w:r>
        <w:rPr>
          <w:rFonts w:hint="default" w:ascii="Times New Roman" w:hAnsi="Times New Roman" w:cs="Times New Roman"/>
          <w:kern w:val="0"/>
        </w:rPr>
        <w:t>方案制定时，海珠区平均每亩征收农用地区片综合地价50.18万元/亩的10%，因计算结果低于我市第五级第十一档最低计提标准5.5万元/亩，按最低计提标准执行</w:t>
      </w:r>
      <w:r>
        <w:rPr>
          <w:rFonts w:hint="default" w:ascii="Times New Roman" w:hAnsi="Times New Roman" w:cs="Times New Roman"/>
          <w:kern w:val="0"/>
          <w:lang w:eastAsia="zh-CN"/>
        </w:rPr>
        <w:t>）</w:t>
      </w:r>
      <w:r>
        <w:rPr>
          <w:rFonts w:hint="default" w:ascii="Times New Roman" w:hAnsi="Times New Roman" w:cs="Times New Roman"/>
          <w:kern w:val="0"/>
        </w:rPr>
        <w:t>，</w:t>
      </w:r>
      <w:r>
        <w:rPr>
          <w:rFonts w:hint="default" w:ascii="Times New Roman" w:hAnsi="Times New Roman" w:cs="Times New Roman"/>
          <w:kern w:val="0"/>
          <w:lang w:val="en-US" w:eastAsia="zh-CN"/>
        </w:rPr>
        <w:t>0</w:t>
      </w:r>
      <w:r>
        <w:rPr>
          <w:rFonts w:hint="default" w:ascii="Times New Roman" w:hAnsi="Times New Roman" w:cs="Times New Roman"/>
          <w:kern w:val="0"/>
        </w:rPr>
        <w:t>亩属于农村集体经济组织留用地，按规定不计提征地社保费，需计提资金共5.02万元由用地单位一次性预存入我区人力资源社会保障部门开设的“收缴被征地农民养老保障资金过渡户”，计入征地成本，纳入工程项目概算。</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rPr>
          <w:rFonts w:hint="default" w:ascii="Times New Roman" w:hAnsi="Times New Roman" w:eastAsia="仿宋_GB2312" w:cs="Times New Roman"/>
          <w:kern w:val="32"/>
          <w:highlight w:val="none"/>
          <w:lang w:eastAsia="zh-CN"/>
        </w:rPr>
      </w:pPr>
      <w:r>
        <w:rPr>
          <w:rFonts w:hint="default" w:ascii="Times New Roman" w:hAnsi="Times New Roman" w:cs="Times New Roman"/>
          <w:kern w:val="0"/>
        </w:rPr>
        <w:t>三、征地社保费补贴对象。按“筹集资金分配到户，户内平均分</w:t>
      </w:r>
      <w:r>
        <w:rPr>
          <w:rFonts w:hint="default" w:ascii="Times New Roman" w:hAnsi="Times New Roman" w:cs="Times New Roman"/>
          <w:kern w:val="0"/>
          <w:highlight w:val="none"/>
        </w:rPr>
        <w:t>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rPr>
          <w:rFonts w:hint="default" w:ascii="Times New Roman" w:hAnsi="Times New Roman" w:cs="Times New Roman"/>
          <w:kern w:val="32"/>
        </w:rPr>
      </w:pPr>
      <w:r>
        <w:rPr>
          <w:rFonts w:hint="default" w:ascii="Times New Roman" w:hAnsi="Times New Roman" w:cs="Times New Roman"/>
          <w:kern w:val="32"/>
          <w:highlight w:val="none"/>
        </w:rPr>
        <w:t>四、征地社保费发放。一是征地社保费与征地安置补偿费同期拨付。征地实施部门在拟发放征地安置补助费时，应告知同级人力资源社会保障部门和</w:t>
      </w:r>
      <w:r>
        <w:rPr>
          <w:rFonts w:hint="default" w:ascii="Times New Roman" w:hAnsi="Times New Roman" w:cs="Times New Roman"/>
          <w:kern w:val="32"/>
        </w:rPr>
        <w:t>征地项目所在街道办事处。街道办事处牵头组织被征地农户在15个工作日内按时提供具体参保人员名单和分配金额。被征地农户未按时提供的，由街道办事处按被征地农户的16周岁以上人口平均分配资金原则确定参保人员名单和分配金额，送人社部门办理社保手续。二是符合条件的被征地</w:t>
      </w:r>
      <w:r>
        <w:rPr>
          <w:rFonts w:hint="default" w:ascii="Times New Roman" w:hAnsi="Times New Roman" w:cs="Times New Roman"/>
          <w:kern w:val="32"/>
          <w:lang w:eastAsia="zh-CN"/>
        </w:rPr>
        <w:t>人员</w:t>
      </w:r>
      <w:r>
        <w:rPr>
          <w:rFonts w:hint="default" w:ascii="Times New Roman" w:hAnsi="Times New Roman" w:cs="Times New Roman"/>
          <w:kern w:val="32"/>
        </w:rPr>
        <w:t>按规定享受征地社保补贴，一次性划入其城乡居民养老保险个人账户，不计算实际缴费年限；其中已领取城镇职工基本养老金的，一次性支付个人。</w:t>
      </w: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textAlignment w:val="auto"/>
        <w:outlineLvl w:val="9"/>
        <w:rPr>
          <w:rFonts w:hint="default" w:ascii="Times New Roman" w:hAnsi="Times New Roman" w:cs="Times New Roman"/>
          <w:kern w:val="32"/>
        </w:rPr>
      </w:pPr>
      <w:r>
        <w:rPr>
          <w:rFonts w:hint="default" w:ascii="Times New Roman" w:hAnsi="Times New Roman" w:cs="Times New Roman"/>
          <w:kern w:val="32"/>
        </w:rPr>
        <w:t xml:space="preserve">附表：征收土地及养老保障情况表 </w:t>
      </w:r>
    </w:p>
    <w:p>
      <w:pPr>
        <w:rPr>
          <w:rFonts w:hint="default"/>
        </w:rPr>
      </w:pPr>
      <w:r>
        <w:rPr>
          <w:rFonts w:hint="default"/>
        </w:rPr>
        <w:br w:type="page"/>
      </w:r>
      <w:bookmarkStart w:id="0" w:name="_GoBack"/>
      <w:bookmarkEnd w:id="0"/>
    </w:p>
    <w:p>
      <w:pPr>
        <w:pStyle w:val="2"/>
        <w:rPr>
          <w:rFonts w:hint="default"/>
        </w:rPr>
        <w:sectPr>
          <w:footerReference r:id="rId4" w:type="first"/>
          <w:footerReference r:id="rId3" w:type="default"/>
          <w:pgSz w:w="16838" w:h="23811"/>
          <w:pgMar w:top="2098" w:right="1474" w:bottom="1984" w:left="1587" w:header="851" w:footer="1417" w:gutter="0"/>
          <w:pgNumType w:fmt="decimal"/>
          <w:cols w:space="0" w:num="1"/>
          <w:titlePg/>
          <w:rtlGutter w:val="0"/>
          <w:docGrid w:type="linesAndChars" w:linePitch="579" w:charSpace="-842"/>
        </w:sectPr>
      </w:pPr>
    </w:p>
    <w:p>
      <w:pPr>
        <w:pStyle w:val="2"/>
        <w:rPr>
          <w:rFonts w:hint="default"/>
        </w:rPr>
      </w:pPr>
    </w:p>
    <w:p>
      <w:pPr>
        <w:pStyle w:val="2"/>
        <w:ind w:left="0" w:leftChars="0" w:firstLine="0" w:firstLineChars="0"/>
        <w:rPr>
          <w:rFonts w:hint="default" w:ascii="Times New Roman" w:hAnsi="Times New Roman" w:eastAsia="黑体" w:cs="Times New Roman"/>
          <w:kern w:val="32"/>
          <w:sz w:val="32"/>
          <w:szCs w:val="32"/>
          <w:lang w:val="en-US" w:eastAsia="zh-CN" w:bidi="ar-SA"/>
        </w:rPr>
      </w:pPr>
    </w:p>
    <w:p>
      <w:pPr>
        <w:pStyle w:val="2"/>
        <w:ind w:left="0" w:leftChars="0" w:firstLine="0" w:firstLineChars="0"/>
        <w:rPr>
          <w:rFonts w:hint="default" w:ascii="Times New Roman" w:hAnsi="Times New Roman" w:eastAsia="黑体" w:cs="Times New Roman"/>
          <w:kern w:val="32"/>
          <w:sz w:val="32"/>
          <w:szCs w:val="32"/>
          <w:lang w:val="en-US" w:eastAsia="zh-CN" w:bidi="ar-SA"/>
        </w:rPr>
      </w:pPr>
      <w:r>
        <w:rPr>
          <w:rFonts w:hint="default" w:ascii="Times New Roman" w:hAnsi="Times New Roman" w:eastAsia="黑体" w:cs="Times New Roman"/>
          <w:kern w:val="32"/>
          <w:sz w:val="32"/>
          <w:szCs w:val="32"/>
          <w:lang w:val="en-US" w:eastAsia="zh-CN" w:bidi="ar-SA"/>
        </w:rPr>
        <w:t>附表</w:t>
      </w:r>
    </w:p>
    <w:p>
      <w:pPr>
        <w:spacing w:line="600" w:lineRule="exact"/>
        <w:ind w:right="210"/>
        <w:jc w:val="center"/>
        <w:rPr>
          <w:rFonts w:hint="default" w:ascii="Times New Roman" w:hAnsi="Times New Roman" w:eastAsia="方正小标宋简体" w:cs="Times New Roman"/>
          <w:sz w:val="44"/>
          <w:szCs w:val="44"/>
        </w:rPr>
      </w:pPr>
    </w:p>
    <w:p>
      <w:pPr>
        <w:spacing w:line="600" w:lineRule="exact"/>
        <w:ind w:right="21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pPr>
        <w:spacing w:line="600" w:lineRule="exact"/>
        <w:ind w:right="770"/>
        <w:jc w:val="right"/>
        <w:rPr>
          <w:rFonts w:hint="default" w:ascii="Times New Roman" w:hAnsi="Times New Roman" w:cs="Times New Roman"/>
          <w:sz w:val="28"/>
          <w:szCs w:val="28"/>
        </w:rPr>
      </w:pPr>
      <w:r>
        <w:rPr>
          <w:rFonts w:hint="default" w:ascii="Times New Roman" w:hAnsi="Times New Roman" w:cs="Times New Roman"/>
          <w:sz w:val="28"/>
          <w:szCs w:val="28"/>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611"/>
        <w:gridCol w:w="2250"/>
        <w:gridCol w:w="1517"/>
        <w:gridCol w:w="1766"/>
        <w:gridCol w:w="156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861" w:type="dxa"/>
            <w:gridSpan w:val="2"/>
            <w:tcBorders>
              <w:top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被征地单位</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征收土地面积</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其中属于被征地单位留用地面积</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35" w:hRule="atLeast"/>
          <w:jc w:val="center"/>
        </w:trPr>
        <w:tc>
          <w:tcPr>
            <w:tcW w:w="1611" w:type="dxa"/>
            <w:tcBorders>
              <w:top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24"/>
                <w:lang w:eastAsia="zh-CN"/>
              </w:rPr>
            </w:pPr>
            <w:r>
              <w:rPr>
                <w:rFonts w:hint="default" w:ascii="Times New Roman" w:hAnsi="Times New Roman" w:eastAsia="仿宋_GB2312" w:cs="Times New Roman"/>
                <w:kern w:val="0"/>
                <w:sz w:val="28"/>
                <w:szCs w:val="28"/>
              </w:rPr>
              <w:t>广州市海珠区</w:t>
            </w:r>
            <w:r>
              <w:rPr>
                <w:rFonts w:hint="default" w:ascii="Times New Roman" w:hAnsi="Times New Roman" w:cs="Times New Roman"/>
                <w:kern w:val="0"/>
                <w:sz w:val="28"/>
                <w:szCs w:val="28"/>
                <w:lang w:val="en-US" w:eastAsia="zh-CN"/>
              </w:rPr>
              <w:t>官</w:t>
            </w:r>
            <w:r>
              <w:rPr>
                <w:rFonts w:hint="default" w:ascii="Times New Roman" w:hAnsi="Times New Roman" w:eastAsia="仿宋_GB2312" w:cs="Times New Roman"/>
                <w:kern w:val="0"/>
                <w:sz w:val="28"/>
                <w:szCs w:val="28"/>
              </w:rPr>
              <w:t>洲街</w:t>
            </w:r>
          </w:p>
        </w:tc>
        <w:tc>
          <w:tcPr>
            <w:tcW w:w="22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sz w:val="28"/>
                <w:szCs w:val="28"/>
                <w:lang w:eastAsia="zh-CN"/>
              </w:rPr>
              <w:t>赤沙第七经济合作社</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0.912</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kern w:val="0"/>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5.02</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861" w:type="dxa"/>
            <w:gridSpan w:val="2"/>
            <w:tcBorders>
              <w:top w:val="single" w:color="auto" w:sz="4" w:space="0"/>
              <w:bottom w:val="single" w:color="auto" w:sz="4" w:space="0"/>
              <w:right w:val="single" w:color="auto" w:sz="4" w:space="0"/>
            </w:tcBorders>
            <w:noWrap w:val="0"/>
            <w:vAlign w:val="center"/>
          </w:tcPr>
          <w:p>
            <w:pPr>
              <w:widowControl/>
              <w:spacing w:line="300" w:lineRule="exact"/>
              <w:ind w:left="-37" w:leftChars="-12"/>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合计</w:t>
            </w:r>
          </w:p>
        </w:tc>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cs="Times New Roman"/>
                <w:kern w:val="0"/>
                <w:sz w:val="24"/>
                <w:szCs w:val="24"/>
                <w:lang w:val="en-US" w:eastAsia="zh-CN"/>
              </w:rPr>
            </w:pPr>
            <w:r>
              <w:rPr>
                <w:rFonts w:hint="default" w:ascii="Times New Roman" w:hAnsi="Times New Roman" w:eastAsia="仿宋_GB2312" w:cs="Times New Roman"/>
                <w:kern w:val="0"/>
                <w:sz w:val="28"/>
                <w:szCs w:val="28"/>
                <w:lang w:val="en-US" w:eastAsia="zh-CN"/>
              </w:rPr>
              <w:t>0.912</w:t>
            </w:r>
          </w:p>
        </w:tc>
        <w:tc>
          <w:tcPr>
            <w:tcW w:w="176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7" w:leftChars="-12"/>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lang w:val="en-US" w:eastAsia="zh-CN"/>
              </w:rPr>
              <w:t>0</w:t>
            </w:r>
          </w:p>
        </w:tc>
        <w:tc>
          <w:tcPr>
            <w:tcW w:w="15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eastAsia="zh-CN"/>
              </w:rPr>
            </w:pPr>
            <w:r>
              <w:rPr>
                <w:rFonts w:hint="default" w:ascii="Times New Roman" w:hAnsi="Times New Roman" w:eastAsia="宋体" w:cs="Times New Roman"/>
                <w:i w:val="0"/>
                <w:iCs w:val="0"/>
                <w:color w:val="000000"/>
                <w:kern w:val="0"/>
                <w:sz w:val="28"/>
                <w:szCs w:val="28"/>
                <w:u w:val="none"/>
                <w:lang w:val="en-US" w:eastAsia="zh-CN" w:bidi="ar"/>
              </w:rPr>
              <w:t>5.02</w:t>
            </w:r>
          </w:p>
        </w:tc>
      </w:tr>
    </w:tbl>
    <w:p>
      <w:pPr>
        <w:spacing w:line="320" w:lineRule="exact"/>
        <w:ind w:right="210"/>
        <w:jc w:val="left"/>
        <w:rPr>
          <w:rFonts w:hint="default" w:ascii="Times New Roman" w:hAnsi="Times New Roman" w:cs="Times New Roman"/>
          <w:sz w:val="24"/>
          <w:szCs w:val="28"/>
        </w:rPr>
      </w:pPr>
      <w:r>
        <w:rPr>
          <w:rFonts w:hint="default" w:ascii="Times New Roman" w:hAnsi="Times New Roman" w:cs="Times New Roman"/>
          <w:sz w:val="24"/>
          <w:szCs w:val="28"/>
        </w:rPr>
        <w:t>说明：</w:t>
      </w:r>
    </w:p>
    <w:p>
      <w:pPr>
        <w:numPr>
          <w:ilvl w:val="0"/>
          <w:numId w:val="1"/>
        </w:numPr>
        <w:spacing w:line="320" w:lineRule="exact"/>
        <w:ind w:right="210"/>
        <w:jc w:val="left"/>
        <w:rPr>
          <w:rFonts w:hint="default" w:ascii="Times New Roman" w:hAnsi="Times New Roman" w:cs="Times New Roman"/>
          <w:sz w:val="24"/>
          <w:szCs w:val="28"/>
          <w:lang w:val="en-US" w:eastAsia="zh-CN"/>
        </w:rPr>
      </w:pPr>
      <w:r>
        <w:rPr>
          <w:rFonts w:hint="default" w:ascii="Times New Roman" w:hAnsi="Times New Roman" w:cs="Times New Roman"/>
          <w:sz w:val="24"/>
          <w:szCs w:val="28"/>
        </w:rPr>
        <w:t>该项目按5.50万元/亩的标准计提征地社保费，即按征地补偿安置方案制定时，海珠区平均每亩征收农用地区片综合地价50.18万元/亩的10%</w:t>
      </w:r>
      <w:r>
        <w:rPr>
          <w:rFonts w:hint="default" w:ascii="Times New Roman" w:hAnsi="Times New Roman" w:cs="Times New Roman"/>
          <w:sz w:val="24"/>
          <w:szCs w:val="28"/>
          <w:lang w:eastAsia="zh-CN"/>
        </w:rPr>
        <w:t>，</w:t>
      </w:r>
      <w:r>
        <w:rPr>
          <w:rFonts w:hint="default" w:ascii="Times New Roman" w:hAnsi="Times New Roman" w:cs="Times New Roman"/>
          <w:sz w:val="24"/>
          <w:szCs w:val="28"/>
        </w:rPr>
        <w:t>因计算结果低于我市第五级第十一档最低计提标准5.5万元/亩，按最低计提标准执行</w:t>
      </w:r>
      <w:r>
        <w:rPr>
          <w:rFonts w:hint="default" w:ascii="Times New Roman" w:hAnsi="Times New Roman" w:cs="Times New Roman"/>
          <w:sz w:val="24"/>
          <w:szCs w:val="28"/>
          <w:lang w:eastAsia="zh-CN"/>
        </w:rPr>
        <w:t>，</w:t>
      </w:r>
      <w:r>
        <w:rPr>
          <w:rFonts w:hint="default" w:ascii="Times New Roman" w:hAnsi="Times New Roman" w:cs="Times New Roman"/>
          <w:sz w:val="24"/>
          <w:szCs w:val="28"/>
        </w:rPr>
        <w:t>征地社保费计算结果向上取整，精确到百元。</w:t>
      </w:r>
    </w:p>
    <w:p>
      <w:pPr>
        <w:numPr>
          <w:ilvl w:val="0"/>
          <w:numId w:val="1"/>
        </w:numPr>
        <w:spacing w:line="320" w:lineRule="exact"/>
        <w:ind w:right="210"/>
        <w:jc w:val="left"/>
        <w:rPr>
          <w:rFonts w:hint="default" w:ascii="Times New Roman" w:hAnsi="Times New Roman" w:cs="Times New Roman"/>
          <w:sz w:val="24"/>
          <w:szCs w:val="28"/>
        </w:rPr>
      </w:pPr>
      <w:r>
        <w:rPr>
          <w:rFonts w:hint="default" w:ascii="Times New Roman" w:hAnsi="Times New Roman" w:cs="Times New Roman"/>
          <w:sz w:val="24"/>
          <w:szCs w:val="28"/>
        </w:rPr>
        <w:t>属于农村集体经济组织留用地的，按规定不计提征地社保费。</w:t>
      </w:r>
    </w:p>
    <w:p>
      <w:pPr>
        <w:pStyle w:val="2"/>
        <w:rPr>
          <w:rFonts w:hint="default" w:ascii="Times New Roman" w:hAnsi="Times New Roman" w:cs="Times New Roman"/>
          <w:kern w:val="32"/>
        </w:rPr>
      </w:pPr>
    </w:p>
    <w:p>
      <w:pPr>
        <w:pStyle w:val="2"/>
        <w:ind w:left="0" w:leftChars="0" w:firstLine="0" w:firstLineChars="0"/>
        <w:rPr>
          <w:rFonts w:hint="default" w:ascii="Times New Roman" w:hAnsi="Times New Roman" w:cs="Times New Roman"/>
          <w:kern w:val="32"/>
        </w:rPr>
      </w:pPr>
    </w:p>
    <w:p>
      <w:pPr>
        <w:pStyle w:val="2"/>
        <w:ind w:left="0" w:leftChars="0" w:firstLine="0" w:firstLineChars="0"/>
        <w:rPr>
          <w:rFonts w:hint="default" w:ascii="Times New Roman" w:hAnsi="Times New Roman" w:cs="Times New Roman"/>
          <w:kern w:val="32"/>
        </w:rPr>
      </w:pPr>
    </w:p>
    <w:p>
      <w:pPr>
        <w:pStyle w:val="2"/>
        <w:ind w:left="0" w:leftChars="0" w:firstLine="0" w:firstLineChars="0"/>
        <w:rPr>
          <w:rFonts w:hint="default" w:ascii="Times New Roman" w:hAnsi="Times New Roman" w:cs="Times New Roman"/>
          <w:kern w:val="32"/>
        </w:rPr>
      </w:pPr>
    </w:p>
    <w:p>
      <w:pPr>
        <w:pStyle w:val="2"/>
        <w:ind w:left="0" w:leftChars="0" w:firstLine="0" w:firstLineChars="0"/>
        <w:rPr>
          <w:rFonts w:hint="default" w:ascii="Times New Roman" w:hAnsi="Times New Roman" w:cs="Times New Roman"/>
          <w:kern w:val="32"/>
        </w:rPr>
      </w:pPr>
    </w:p>
    <w:p>
      <w:pPr>
        <w:pStyle w:val="2"/>
        <w:ind w:left="0" w:leftChars="0" w:firstLine="0" w:firstLineChars="0"/>
        <w:rPr>
          <w:rFonts w:hint="default" w:ascii="Times New Roman" w:hAnsi="Times New Roman" w:cs="Times New Roman"/>
          <w:kern w:val="32"/>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ascii="Times New Roman" w:hAnsi="Times New Roman" w:cs="Times New Roman"/>
        </w:rPr>
      </w:pPr>
    </w:p>
    <w:sectPr>
      <w:footerReference r:id="rId6" w:type="first"/>
      <w:footerReference r:id="rId5" w:type="default"/>
      <w:pgSz w:w="16838" w:h="23811"/>
      <w:pgMar w:top="2098" w:right="1474" w:bottom="1984" w:left="1587" w:header="851" w:footer="1417" w:gutter="0"/>
      <w:pgNumType w:fmt="decimal" w:start="2"/>
      <w:cols w:space="0" w:num="1"/>
      <w:titlePg/>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tabs>
                              <w:tab w:val="left" w:pos="8505"/>
                            </w:tabs>
                            <w:ind w:right="339" w:rightChars="106"/>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tabs>
                        <w:tab w:val="left" w:pos="8505"/>
                      </w:tabs>
                      <w:ind w:right="339" w:rightChars="106"/>
                      <w:jc w:val="righ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944"/>
        <w:tab w:val="clear" w:pos="4153"/>
      </w:tabs>
      <w:rPr>
        <w:rFonts w:hint="eastAsia" w:eastAsia="仿宋_GB2312"/>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F613CD"/>
    <w:multiLevelType w:val="singleLevel"/>
    <w:tmpl w:val="6DF613C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YmQ3MmE2ZDI4Y2EzNTA1M2M3YzE1MjI1NzhlZGUifQ=="/>
  </w:docVars>
  <w:rsids>
    <w:rsidRoot w:val="36EE4F11"/>
    <w:rsid w:val="016C4BB4"/>
    <w:rsid w:val="02817342"/>
    <w:rsid w:val="028D6C5A"/>
    <w:rsid w:val="02EA132E"/>
    <w:rsid w:val="03BE6A73"/>
    <w:rsid w:val="051848AD"/>
    <w:rsid w:val="05B05F1E"/>
    <w:rsid w:val="068B7C0B"/>
    <w:rsid w:val="072877A1"/>
    <w:rsid w:val="073E5645"/>
    <w:rsid w:val="07464067"/>
    <w:rsid w:val="0D9D0734"/>
    <w:rsid w:val="0F4E13D2"/>
    <w:rsid w:val="0FE3548A"/>
    <w:rsid w:val="111A4AB4"/>
    <w:rsid w:val="12277AD7"/>
    <w:rsid w:val="14730686"/>
    <w:rsid w:val="14A65926"/>
    <w:rsid w:val="14FB646C"/>
    <w:rsid w:val="1522411F"/>
    <w:rsid w:val="16295252"/>
    <w:rsid w:val="1759593E"/>
    <w:rsid w:val="17B23B88"/>
    <w:rsid w:val="1B001049"/>
    <w:rsid w:val="1B677CEC"/>
    <w:rsid w:val="1C850161"/>
    <w:rsid w:val="1C905219"/>
    <w:rsid w:val="1D6A74E6"/>
    <w:rsid w:val="1F7D43E8"/>
    <w:rsid w:val="1F973787"/>
    <w:rsid w:val="2091429E"/>
    <w:rsid w:val="21751345"/>
    <w:rsid w:val="2190499B"/>
    <w:rsid w:val="22B72BD7"/>
    <w:rsid w:val="239F4330"/>
    <w:rsid w:val="250F7253"/>
    <w:rsid w:val="25857E82"/>
    <w:rsid w:val="258A4E60"/>
    <w:rsid w:val="2A8824C3"/>
    <w:rsid w:val="2B6B4804"/>
    <w:rsid w:val="2C7455B9"/>
    <w:rsid w:val="2C854F66"/>
    <w:rsid w:val="2C8E66C3"/>
    <w:rsid w:val="2D86255A"/>
    <w:rsid w:val="2DB56380"/>
    <w:rsid w:val="2E1232C3"/>
    <w:rsid w:val="2FFC3861"/>
    <w:rsid w:val="30387810"/>
    <w:rsid w:val="30ED758B"/>
    <w:rsid w:val="32956B73"/>
    <w:rsid w:val="33D00470"/>
    <w:rsid w:val="34AA162F"/>
    <w:rsid w:val="35182B23"/>
    <w:rsid w:val="36065AE4"/>
    <w:rsid w:val="36C41129"/>
    <w:rsid w:val="36EE4F11"/>
    <w:rsid w:val="38356020"/>
    <w:rsid w:val="384E19A5"/>
    <w:rsid w:val="38AA63D8"/>
    <w:rsid w:val="38B67160"/>
    <w:rsid w:val="390576E5"/>
    <w:rsid w:val="39517642"/>
    <w:rsid w:val="3A727BC7"/>
    <w:rsid w:val="3BDE5133"/>
    <w:rsid w:val="3C575AA1"/>
    <w:rsid w:val="3CD04B60"/>
    <w:rsid w:val="3DDE3262"/>
    <w:rsid w:val="3EAC63B9"/>
    <w:rsid w:val="3F760EEA"/>
    <w:rsid w:val="4002000C"/>
    <w:rsid w:val="40C525AC"/>
    <w:rsid w:val="433522F8"/>
    <w:rsid w:val="436E6F0C"/>
    <w:rsid w:val="442558F9"/>
    <w:rsid w:val="478479FC"/>
    <w:rsid w:val="48134310"/>
    <w:rsid w:val="48BA496A"/>
    <w:rsid w:val="49035D3C"/>
    <w:rsid w:val="49BB1226"/>
    <w:rsid w:val="4A525E27"/>
    <w:rsid w:val="4ACE159A"/>
    <w:rsid w:val="4B457846"/>
    <w:rsid w:val="4CA2448D"/>
    <w:rsid w:val="4CD25CDB"/>
    <w:rsid w:val="4DA136B0"/>
    <w:rsid w:val="4E68098F"/>
    <w:rsid w:val="4ED83DAD"/>
    <w:rsid w:val="4EEB6A24"/>
    <w:rsid w:val="4F002796"/>
    <w:rsid w:val="4F4B1A59"/>
    <w:rsid w:val="51722BED"/>
    <w:rsid w:val="523C4B64"/>
    <w:rsid w:val="53735B2B"/>
    <w:rsid w:val="550245D8"/>
    <w:rsid w:val="56162CC9"/>
    <w:rsid w:val="56E405FD"/>
    <w:rsid w:val="576D107C"/>
    <w:rsid w:val="57A76FC0"/>
    <w:rsid w:val="57EF0857"/>
    <w:rsid w:val="5A9B6266"/>
    <w:rsid w:val="5B832189"/>
    <w:rsid w:val="5BF55948"/>
    <w:rsid w:val="5D452D96"/>
    <w:rsid w:val="5F8C6BF7"/>
    <w:rsid w:val="60FE69ED"/>
    <w:rsid w:val="61A96857"/>
    <w:rsid w:val="63280AEE"/>
    <w:rsid w:val="6373502B"/>
    <w:rsid w:val="638F75BC"/>
    <w:rsid w:val="644F4CCB"/>
    <w:rsid w:val="65534757"/>
    <w:rsid w:val="65850619"/>
    <w:rsid w:val="65D064A4"/>
    <w:rsid w:val="666B3A8C"/>
    <w:rsid w:val="676C21A8"/>
    <w:rsid w:val="68F91EEA"/>
    <w:rsid w:val="68FB0698"/>
    <w:rsid w:val="69A5739A"/>
    <w:rsid w:val="6A2C23BA"/>
    <w:rsid w:val="6B44596A"/>
    <w:rsid w:val="6C304B52"/>
    <w:rsid w:val="6D5469BC"/>
    <w:rsid w:val="6F1D5650"/>
    <w:rsid w:val="72590C24"/>
    <w:rsid w:val="72E955D6"/>
    <w:rsid w:val="73E679FF"/>
    <w:rsid w:val="74322943"/>
    <w:rsid w:val="75382028"/>
    <w:rsid w:val="75604205"/>
    <w:rsid w:val="76BD1C26"/>
    <w:rsid w:val="772D6382"/>
    <w:rsid w:val="78ED0BA7"/>
    <w:rsid w:val="790E0FE8"/>
    <w:rsid w:val="7A051CB1"/>
    <w:rsid w:val="7B9D77E6"/>
    <w:rsid w:val="7DF65112"/>
    <w:rsid w:val="7E343BB8"/>
    <w:rsid w:val="7E5922A1"/>
    <w:rsid w:val="7F6832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widowControl/>
      <w:spacing w:after="100" w:line="276" w:lineRule="auto"/>
      <w:jc w:val="left"/>
    </w:pPr>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区人社局</Company>
  <Pages>4</Pages>
  <Words>1913</Words>
  <Characters>2073</Characters>
  <Lines>0</Lines>
  <Paragraphs>0</Paragraphs>
  <TotalTime>8</TotalTime>
  <ScaleCrop>false</ScaleCrop>
  <LinksUpToDate>false</LinksUpToDate>
  <CharactersWithSpaces>2094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2018-12-12T02:30:00Z</dcterms:created>
  <dc:creator>Administrator</dc:creator>
  <cp:lastModifiedBy>admin</cp:lastModifiedBy>
  <cp:lastPrinted>2024-05-13T06:36:00Z</cp:lastPrinted>
  <dcterms:modified xsi:type="dcterms:W3CDTF">2024-05-14T01:22:39Z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F507590D03614F4F8CDE18A18574FEC3</vt:lpwstr>
  </property>
</Properties>
</file>