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u w:val="none" w:color="000000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u w:val="none" w:color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u w:val="none" w:color="000000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u w:val="none" w:color="000000"/>
        </w:rPr>
        <w:t>广州市海珠区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u w:val="none" w:color="000000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u w:val="none" w:color="000000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u w:val="none" w:color="000000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u w:val="none" w:color="000000"/>
          <w:lang w:eastAsia="zh-CN"/>
        </w:rPr>
        <w:t>社会组织等级评估结果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5A（AAAAA）级 （排名不分先后，下同）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启创社会工作服务中心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广州市同心社会工作服务中心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广州市心明爱社会工作服务中心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广州市中大社工服务中心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广州市海珠区蓝信封留守儿童关爱中心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A（AAA）级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海珠区民间文艺家协会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广州市海珠区海青素质教育培训中心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2A（AA）级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广州市海珠区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新时代青少年素质教育发展中心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E539D"/>
    <w:rsid w:val="3A3978F1"/>
    <w:rsid w:val="5BD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2024-09-27T06:19:00Z</dcterms:created>
  <dc:creator>MHF</dc:creator>
  <cp:lastModifiedBy>MHF</cp:lastModifiedBy>
  <dcterms:modified xsi:type="dcterms:W3CDTF">2024-09-27T06:20:28Z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A25C25660BCE40589F815AD50BE54CE8</vt:lpwstr>
  </property>
</Properties>
</file>