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zh-TW" w:eastAsia="zh-CN"/>
        </w:rPr>
      </w:pPr>
      <w:bookmarkStart w:id="0" w:name="OLE_LINK2"/>
      <w:r>
        <w:rPr>
          <w:rFonts w:hint="eastAsia" w:ascii="方正小标宋_GBK" w:hAnsi="方正小标宋_GBK" w:eastAsia="方正小标宋_GBK" w:cs="方正小标宋_GBK"/>
          <w:b w:val="0"/>
          <w:bCs w:val="0"/>
          <w:color w:val="auto"/>
          <w:sz w:val="44"/>
          <w:szCs w:val="44"/>
          <w:lang w:val="en-US" w:eastAsia="zh-CN"/>
        </w:rPr>
        <w:t>2024年</w:t>
      </w:r>
      <w:r>
        <w:rPr>
          <w:rFonts w:hint="eastAsia" w:ascii="方正小标宋_GBK" w:hAnsi="方正小标宋_GBK" w:eastAsia="方正小标宋_GBK" w:cs="方正小标宋_GBK"/>
          <w:b w:val="0"/>
          <w:bCs w:val="0"/>
          <w:color w:val="auto"/>
          <w:sz w:val="44"/>
          <w:szCs w:val="44"/>
          <w:lang w:val="zh-TW" w:eastAsia="zh-TW"/>
        </w:rPr>
        <w:t>海珠区</w:t>
      </w:r>
      <w:r>
        <w:rPr>
          <w:rFonts w:hint="eastAsia" w:ascii="方正小标宋_GBK" w:hAnsi="方正小标宋_GBK" w:eastAsia="方正小标宋_GBK" w:cs="方正小标宋_GBK"/>
          <w:b w:val="0"/>
          <w:bCs w:val="0"/>
          <w:color w:val="auto"/>
          <w:sz w:val="44"/>
          <w:szCs w:val="44"/>
          <w:lang w:val="en-US" w:eastAsia="zh-CN"/>
        </w:rPr>
        <w:t>养老服务领域</w:t>
      </w:r>
      <w:r>
        <w:rPr>
          <w:rFonts w:hint="eastAsia" w:ascii="方正小标宋_GBK" w:hAnsi="方正小标宋_GBK" w:eastAsia="方正小标宋_GBK" w:cs="方正小标宋_GBK"/>
          <w:b w:val="0"/>
          <w:bCs w:val="0"/>
          <w:color w:val="auto"/>
          <w:sz w:val="44"/>
          <w:szCs w:val="44"/>
          <w:lang w:val="zh-TW" w:eastAsia="zh-TW"/>
        </w:rPr>
        <w:t>消防安全督查及整改培训</w:t>
      </w:r>
      <w:r>
        <w:rPr>
          <w:rFonts w:hint="eastAsia" w:ascii="方正小标宋_GBK" w:hAnsi="方正小标宋_GBK" w:eastAsia="方正小标宋_GBK" w:cs="方正小标宋_GBK"/>
          <w:b w:val="0"/>
          <w:bCs w:val="0"/>
          <w:color w:val="auto"/>
          <w:sz w:val="44"/>
          <w:szCs w:val="44"/>
          <w:lang w:val="zh-TW" w:eastAsia="zh-CN"/>
        </w:rPr>
        <w:t>服务</w:t>
      </w:r>
      <w:r>
        <w:rPr>
          <w:rFonts w:hint="eastAsia" w:ascii="方正小标宋_GBK" w:hAnsi="方正小标宋_GBK" w:eastAsia="方正小标宋_GBK" w:cs="方正小标宋_GBK"/>
          <w:b w:val="0"/>
          <w:bCs w:val="0"/>
          <w:color w:val="auto"/>
          <w:sz w:val="44"/>
          <w:szCs w:val="44"/>
          <w:lang w:val="zh-TW" w:eastAsia="zh-TW"/>
        </w:rPr>
        <w:t>项目需求</w:t>
      </w:r>
      <w:r>
        <w:rPr>
          <w:rFonts w:hint="eastAsia" w:ascii="方正小标宋_GBK" w:hAnsi="方正小标宋_GBK" w:eastAsia="方正小标宋_GBK" w:cs="方正小标宋_GBK"/>
          <w:b w:val="0"/>
          <w:bCs w:val="0"/>
          <w:color w:val="auto"/>
          <w:sz w:val="44"/>
          <w:szCs w:val="44"/>
          <w:lang w:val="zh-TW" w:eastAsia="zh-CN"/>
        </w:rPr>
        <w:t>书</w:t>
      </w:r>
    </w:p>
    <w:p>
      <w:pPr>
        <w:keepNext w:val="0"/>
        <w:keepLines w:val="0"/>
        <w:pageBreakBefore w:val="0"/>
        <w:kinsoku/>
        <w:wordWrap/>
        <w:overflowPunct/>
        <w:topLinePunct w:val="0"/>
        <w:bidi w:val="0"/>
        <w:snapToGrid/>
        <w:spacing w:line="560" w:lineRule="exact"/>
        <w:jc w:val="left"/>
        <w:textAlignment w:val="auto"/>
        <w:rPr>
          <w:rFonts w:hint="eastAsia" w:ascii="微软雅黑" w:hAnsi="微软雅黑" w:eastAsia="微软雅黑" w:cs="微软雅黑"/>
          <w:b w:val="0"/>
          <w:bCs w:val="0"/>
          <w:color w:val="auto"/>
          <w:sz w:val="28"/>
          <w:szCs w:val="28"/>
          <w:lang w:val="zh-TW" w:eastAsia="zh-TW"/>
        </w:rPr>
      </w:pP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lang w:val="zh-TW" w:eastAsia="zh-TW"/>
        </w:rPr>
      </w:pPr>
      <w:bookmarkStart w:id="1" w:name="OLE_LINK1"/>
      <w:r>
        <w:rPr>
          <w:rFonts w:hint="eastAsia" w:ascii="黑体" w:hAnsi="黑体" w:eastAsia="黑体" w:cs="黑体"/>
          <w:color w:val="auto"/>
          <w:sz w:val="32"/>
          <w:szCs w:val="32"/>
          <w:lang w:val="zh-TW"/>
        </w:rPr>
        <w:t>一、</w:t>
      </w:r>
      <w:r>
        <w:rPr>
          <w:rFonts w:ascii="黑体" w:hAnsi="黑体" w:eastAsia="黑体" w:cs="黑体"/>
          <w:color w:val="auto"/>
          <w:sz w:val="32"/>
          <w:szCs w:val="32"/>
          <w:lang w:val="zh-TW" w:eastAsia="zh-TW"/>
        </w:rPr>
        <w:t>项目概况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委托</w:t>
      </w:r>
      <w:r>
        <w:rPr>
          <w:rFonts w:hint="eastAsia" w:ascii="仿宋_GB2312" w:hAnsi="仿宋_GB2312" w:eastAsia="仿宋_GB2312" w:cs="仿宋_GB2312"/>
          <w:color w:val="auto"/>
          <w:sz w:val="32"/>
          <w:szCs w:val="32"/>
          <w:lang w:val="zh-TW" w:eastAsia="zh-CN"/>
        </w:rPr>
        <w:t>具备</w:t>
      </w:r>
      <w:r>
        <w:rPr>
          <w:rFonts w:hint="eastAsia" w:ascii="仿宋_GB2312" w:hAnsi="仿宋_GB2312" w:eastAsia="仿宋_GB2312" w:cs="仿宋_GB2312"/>
          <w:color w:val="auto"/>
          <w:sz w:val="32"/>
          <w:szCs w:val="32"/>
          <w:lang w:val="zh-TW" w:eastAsia="zh-TW"/>
        </w:rPr>
        <w:t>消防安全技术服务</w:t>
      </w:r>
      <w:r>
        <w:rPr>
          <w:rFonts w:hint="eastAsia" w:ascii="仿宋_GB2312" w:hAnsi="仿宋_GB2312" w:eastAsia="仿宋_GB2312" w:cs="仿宋_GB2312"/>
          <w:color w:val="auto"/>
          <w:sz w:val="32"/>
          <w:szCs w:val="32"/>
          <w:lang w:val="zh-TW" w:eastAsia="zh-CN"/>
        </w:rPr>
        <w:t>许可资格</w:t>
      </w:r>
      <w:r>
        <w:rPr>
          <w:rFonts w:hint="eastAsia" w:ascii="仿宋_GB2312" w:hAnsi="仿宋_GB2312" w:eastAsia="仿宋_GB2312" w:cs="仿宋_GB2312"/>
          <w:color w:val="auto"/>
          <w:sz w:val="32"/>
          <w:szCs w:val="32"/>
          <w:lang w:val="zh-TW" w:eastAsia="zh-TW"/>
        </w:rPr>
        <w:t>的企业提供为期一年的消防安全督导服务，对辖内养老</w:t>
      </w:r>
      <w:r>
        <w:rPr>
          <w:rFonts w:hint="eastAsia" w:ascii="仿宋_GB2312" w:hAnsi="仿宋_GB2312" w:eastAsia="仿宋_GB2312" w:cs="仿宋_GB2312"/>
          <w:color w:val="auto"/>
          <w:sz w:val="32"/>
          <w:szCs w:val="32"/>
          <w:lang w:val="en-US" w:eastAsia="zh-CN"/>
        </w:rPr>
        <w:t>服务机构（场所）</w:t>
      </w:r>
      <w:r>
        <w:rPr>
          <w:rFonts w:hint="eastAsia" w:ascii="仿宋_GB2312" w:hAnsi="仿宋_GB2312" w:eastAsia="仿宋_GB2312" w:cs="仿宋_GB2312"/>
          <w:color w:val="auto"/>
          <w:sz w:val="32"/>
          <w:szCs w:val="32"/>
          <w:lang w:val="zh-TW" w:eastAsia="zh-TW"/>
        </w:rPr>
        <w:t>开展安全监督，</w:t>
      </w:r>
      <w:r>
        <w:rPr>
          <w:rFonts w:hint="eastAsia" w:ascii="仿宋_GB2312" w:hAnsi="仿宋_GB2312" w:eastAsia="仿宋_GB2312" w:cs="仿宋_GB2312"/>
          <w:color w:val="auto"/>
          <w:sz w:val="32"/>
          <w:szCs w:val="32"/>
          <w:lang w:val="en-US" w:eastAsia="zh-CN"/>
        </w:rPr>
        <w:t>督促指导和帮助</w:t>
      </w:r>
      <w:r>
        <w:rPr>
          <w:rFonts w:hint="eastAsia" w:ascii="仿宋_GB2312" w:hAnsi="仿宋_GB2312" w:eastAsia="仿宋_GB2312" w:cs="仿宋_GB2312"/>
          <w:color w:val="auto"/>
          <w:sz w:val="32"/>
          <w:szCs w:val="32"/>
          <w:lang w:val="zh-TW" w:eastAsia="zh-CN"/>
        </w:rPr>
        <w:t>养老服务机构（场所）</w:t>
      </w:r>
      <w:r>
        <w:rPr>
          <w:rFonts w:hint="eastAsia" w:ascii="仿宋_GB2312" w:hAnsi="仿宋_GB2312" w:eastAsia="仿宋_GB2312" w:cs="仿宋_GB2312"/>
          <w:color w:val="auto"/>
          <w:sz w:val="32"/>
          <w:szCs w:val="32"/>
          <w:lang w:val="zh-TW" w:eastAsia="zh-TW"/>
        </w:rPr>
        <w:t>做好消防安全工作</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检查发现养老服务机构（场所）存</w:t>
      </w:r>
      <w:r>
        <w:rPr>
          <w:rFonts w:hint="eastAsia" w:ascii="仿宋_GB2312" w:hAnsi="仿宋_GB2312" w:eastAsia="仿宋_GB2312" w:cs="仿宋_GB2312"/>
          <w:color w:val="auto"/>
          <w:sz w:val="32"/>
          <w:szCs w:val="32"/>
          <w:lang w:val="zh-TW" w:eastAsia="zh-TW"/>
        </w:rPr>
        <w:t>在的安全隐患</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lang w:val="zh-TW" w:eastAsia="zh-TW"/>
        </w:rPr>
        <w:t>出整改建议</w:t>
      </w:r>
      <w:r>
        <w:rPr>
          <w:rFonts w:hint="eastAsia" w:ascii="仿宋_GB2312" w:hAnsi="仿宋_GB2312" w:eastAsia="仿宋_GB2312" w:cs="仿宋_GB2312"/>
          <w:color w:val="auto"/>
          <w:sz w:val="32"/>
          <w:szCs w:val="32"/>
          <w:lang w:val="en-US" w:eastAsia="zh-CN"/>
        </w:rPr>
        <w:t>或整改要求</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en-US" w:eastAsia="zh-CN"/>
        </w:rPr>
        <w:t>督促并指导帮助养老服务机构（场所）落实安全隐患整改；定期分析消防安全形势，跟踪督办安全隐患查改工作进度，推动养老服务机构（场所）消防安全水平不断提高，保障人民生命财产安全</w:t>
      </w:r>
      <w:r>
        <w:rPr>
          <w:rFonts w:hint="eastAsia" w:ascii="仿宋_GB2312" w:hAnsi="仿宋_GB2312" w:eastAsia="仿宋_GB2312" w:cs="仿宋_GB2312"/>
          <w:color w:val="auto"/>
          <w:sz w:val="32"/>
          <w:szCs w:val="32"/>
          <w:lang w:val="zh-TW" w:eastAsia="zh-TW"/>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lang w:val="zh-TW" w:eastAsia="zh-TW"/>
        </w:rPr>
      </w:pPr>
      <w:r>
        <w:rPr>
          <w:rFonts w:hint="eastAsia" w:ascii="黑体" w:hAnsi="黑体" w:eastAsia="黑体" w:cs="黑体"/>
          <w:color w:val="auto"/>
          <w:sz w:val="32"/>
          <w:szCs w:val="32"/>
          <w:lang w:val="zh-TW"/>
        </w:rPr>
        <w:t>二、</w:t>
      </w:r>
      <w:r>
        <w:rPr>
          <w:rFonts w:hint="eastAsia" w:ascii="黑体" w:hAnsi="黑体" w:eastAsia="黑体" w:cs="黑体"/>
          <w:color w:val="auto"/>
          <w:sz w:val="32"/>
          <w:szCs w:val="32"/>
          <w:lang w:val="zh-TW" w:eastAsia="zh-TW"/>
        </w:rPr>
        <w:t>服务对象</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辖区内所有养老服务机构或养老服务场所（包括但不限于辖内所有养老服务机构（场所）、颐康中心、其他养老服务场所等）,主要为辖内养老服务机构。</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lang w:val="zh-TW" w:eastAsia="zh-TW"/>
        </w:rPr>
      </w:pPr>
      <w:r>
        <w:rPr>
          <w:rFonts w:hint="eastAsia" w:ascii="黑体" w:hAnsi="黑体" w:eastAsia="黑体" w:cs="黑体"/>
          <w:color w:val="auto"/>
          <w:sz w:val="32"/>
          <w:szCs w:val="32"/>
          <w:lang w:val="zh-TW"/>
        </w:rPr>
        <w:t>三、</w:t>
      </w:r>
      <w:r>
        <w:rPr>
          <w:rFonts w:hint="eastAsia" w:ascii="黑体" w:hAnsi="黑体" w:eastAsia="黑体" w:cs="黑体"/>
          <w:color w:val="auto"/>
          <w:sz w:val="32"/>
          <w:szCs w:val="32"/>
          <w:lang w:val="zh-TW" w:eastAsia="zh-TW"/>
        </w:rPr>
        <w:t>服务目标</w:t>
      </w:r>
    </w:p>
    <w:p>
      <w:pPr>
        <w:keepNext w:val="0"/>
        <w:keepLines w:val="0"/>
        <w:pageBreakBefore w:val="0"/>
        <w:kinsoku/>
        <w:wordWrap/>
        <w:overflowPunct/>
        <w:topLinePunct w:val="0"/>
        <w:bidi w:val="0"/>
        <w:snapToGrid/>
        <w:spacing w:line="560" w:lineRule="exact"/>
        <w:ind w:left="0" w:leftChars="0" w:firstLine="640" w:firstLineChars="200"/>
        <w:textAlignment w:val="auto"/>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通过开展消防安全督导</w:t>
      </w:r>
      <w:r>
        <w:rPr>
          <w:rFonts w:hint="eastAsia" w:ascii="仿宋_GB2312" w:hAnsi="仿宋_GB2312" w:eastAsia="仿宋_GB2312" w:cs="仿宋_GB2312"/>
          <w:color w:val="auto"/>
          <w:sz w:val="32"/>
          <w:szCs w:val="32"/>
          <w:lang w:val="en-US" w:eastAsia="zh-CN"/>
        </w:rPr>
        <w:t>项目</w:t>
      </w:r>
      <w:r>
        <w:rPr>
          <w:rFonts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en-US" w:eastAsia="zh-CN"/>
        </w:rPr>
        <w:t>督促</w:t>
      </w:r>
      <w:r>
        <w:rPr>
          <w:rFonts w:ascii="仿宋_GB2312" w:hAnsi="仿宋_GB2312" w:eastAsia="仿宋_GB2312" w:cs="仿宋_GB2312"/>
          <w:color w:val="auto"/>
          <w:sz w:val="32"/>
          <w:szCs w:val="32"/>
          <w:lang w:val="zh-TW" w:eastAsia="zh-TW"/>
        </w:rPr>
        <w:t>辖区内养老</w:t>
      </w:r>
      <w:r>
        <w:rPr>
          <w:rFonts w:hint="eastAsia" w:ascii="仿宋_GB2312" w:hAnsi="仿宋_GB2312" w:eastAsia="仿宋_GB2312" w:cs="仿宋_GB2312"/>
          <w:color w:val="auto"/>
          <w:sz w:val="32"/>
          <w:szCs w:val="32"/>
          <w:lang w:val="en-US" w:eastAsia="zh-CN"/>
        </w:rPr>
        <w:t>服务</w:t>
      </w:r>
      <w:r>
        <w:rPr>
          <w:rFonts w:ascii="仿宋_GB2312" w:hAnsi="仿宋_GB2312" w:eastAsia="仿宋_GB2312" w:cs="仿宋_GB2312"/>
          <w:color w:val="auto"/>
          <w:sz w:val="32"/>
          <w:szCs w:val="32"/>
          <w:lang w:val="zh-TW" w:eastAsia="zh-TW"/>
        </w:rPr>
        <w:t>机构</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场所</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落实消防安全主体责任，建立健全消防安全管理制度和操作规程严格，落实消防安全日常管理，推动消防安全达标建设；指导督促养老服务机构（场所）做好安全隐患自查自改，提升工作人员应急处置能力；组织开展消防安全教育培训和消防演练，</w:t>
      </w:r>
      <w:r>
        <w:rPr>
          <w:rFonts w:ascii="仿宋_GB2312" w:hAnsi="仿宋_GB2312" w:eastAsia="仿宋_GB2312" w:cs="仿宋_GB2312"/>
          <w:color w:val="auto"/>
          <w:sz w:val="32"/>
          <w:szCs w:val="32"/>
          <w:lang w:val="zh-TW" w:eastAsia="zh-TW"/>
        </w:rPr>
        <w:t>预防和减少火灾</w:t>
      </w:r>
      <w:r>
        <w:rPr>
          <w:rFonts w:hint="eastAsia" w:ascii="仿宋_GB2312" w:hAnsi="仿宋_GB2312" w:eastAsia="仿宋_GB2312" w:cs="仿宋_GB2312"/>
          <w:color w:val="auto"/>
          <w:sz w:val="32"/>
          <w:szCs w:val="32"/>
          <w:lang w:val="zh-TW" w:eastAsia="zh-CN"/>
        </w:rPr>
        <w:t>带来的</w:t>
      </w:r>
      <w:r>
        <w:rPr>
          <w:rFonts w:ascii="仿宋_GB2312" w:hAnsi="仿宋_GB2312" w:eastAsia="仿宋_GB2312" w:cs="仿宋_GB2312"/>
          <w:color w:val="auto"/>
          <w:sz w:val="32"/>
          <w:szCs w:val="32"/>
          <w:lang w:val="zh-TW" w:eastAsia="zh-TW"/>
        </w:rPr>
        <w:t>危害</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定期分析消防安全形势，跟踪督办安全隐患查改工作进度，推动养老服务机构（场所）消防安全水平不断提高，</w:t>
      </w:r>
      <w:r>
        <w:rPr>
          <w:rFonts w:ascii="仿宋_GB2312" w:hAnsi="仿宋_GB2312" w:eastAsia="仿宋_GB2312" w:cs="仿宋_GB2312"/>
          <w:color w:val="auto"/>
          <w:sz w:val="32"/>
          <w:szCs w:val="32"/>
          <w:lang w:val="zh-TW" w:eastAsia="zh-TW"/>
        </w:rPr>
        <w:t>保障人民群众生命财产安全</w:t>
      </w:r>
      <w:r>
        <w:rPr>
          <w:rFonts w:hint="eastAsia" w:ascii="仿宋_GB2312" w:hAnsi="仿宋_GB2312" w:eastAsia="仿宋_GB2312" w:cs="仿宋_GB2312"/>
          <w:color w:val="auto"/>
          <w:sz w:val="32"/>
          <w:szCs w:val="32"/>
          <w:lang w:val="en-US" w:eastAsia="zh-CN"/>
        </w:rPr>
        <w:t>，助力养老服务机构（场所）高质量发展</w:t>
      </w:r>
      <w:r>
        <w:rPr>
          <w:rFonts w:ascii="仿宋_GB2312" w:hAnsi="仿宋_GB2312" w:eastAsia="仿宋_GB2312" w:cs="仿宋_GB2312"/>
          <w:color w:val="auto"/>
          <w:sz w:val="32"/>
          <w:szCs w:val="32"/>
          <w:lang w:val="zh-TW" w:eastAsia="zh-TW"/>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lang w:val="zh-TW" w:eastAsia="zh-TW"/>
        </w:rPr>
      </w:pPr>
      <w:r>
        <w:rPr>
          <w:rFonts w:hint="eastAsia" w:ascii="黑体" w:hAnsi="黑体" w:eastAsia="黑体" w:cs="黑体"/>
          <w:color w:val="auto"/>
          <w:sz w:val="32"/>
          <w:szCs w:val="32"/>
          <w:lang w:val="zh-TW"/>
        </w:rPr>
        <w:t>四、</w:t>
      </w:r>
      <w:r>
        <w:rPr>
          <w:rFonts w:hint="eastAsia" w:ascii="黑体" w:hAnsi="黑体" w:eastAsia="黑体" w:cs="黑体"/>
          <w:color w:val="auto"/>
          <w:sz w:val="32"/>
          <w:szCs w:val="32"/>
          <w:lang w:val="zh-TW" w:eastAsia="zh-TW"/>
        </w:rPr>
        <w:t>服务内容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督导海珠区辖内</w:t>
      </w:r>
      <w:r>
        <w:rPr>
          <w:rFonts w:hint="eastAsia" w:ascii="仿宋_GB2312" w:hAnsi="仿宋_GB2312" w:eastAsia="仿宋_GB2312" w:cs="仿宋_GB2312"/>
          <w:color w:val="auto"/>
          <w:sz w:val="32"/>
          <w:szCs w:val="32"/>
          <w:lang w:val="en-US" w:eastAsia="zh-CN"/>
        </w:rPr>
        <w:t>养老服务机构（场所）</w:t>
      </w:r>
      <w:r>
        <w:rPr>
          <w:rFonts w:hint="eastAsia" w:ascii="仿宋_GB2312" w:hAnsi="仿宋_GB2312" w:eastAsia="仿宋_GB2312" w:cs="仿宋_GB2312"/>
          <w:color w:val="auto"/>
          <w:sz w:val="32"/>
          <w:szCs w:val="32"/>
        </w:rPr>
        <w:t>履行</w:t>
      </w:r>
      <w:r>
        <w:rPr>
          <w:rFonts w:hint="eastAsia"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rPr>
        <w:t>消防安全</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rPr>
        <w:t>，落实《中华人民共和国消防法》、《国务院办公厅关于印发消防安全责任制实施办法的通知》（国办发〔2017〕87号）、《民政部 国家消防救援局关于印发&lt;</w:t>
      </w:r>
      <w:r>
        <w:rPr>
          <w:rFonts w:hint="eastAsia" w:ascii="仿宋_GB2312" w:hAnsi="仿宋_GB2312" w:eastAsia="仿宋_GB2312" w:cs="仿宋_GB2312"/>
          <w:color w:val="auto"/>
          <w:sz w:val="32"/>
          <w:szCs w:val="32"/>
          <w:lang w:eastAsia="zh-CN"/>
        </w:rPr>
        <w:t>养老服务机构</w:t>
      </w:r>
      <w:r>
        <w:rPr>
          <w:rFonts w:hint="eastAsia" w:ascii="仿宋_GB2312" w:hAnsi="仿宋_GB2312" w:eastAsia="仿宋_GB2312" w:cs="仿宋_GB2312"/>
          <w:color w:val="auto"/>
          <w:sz w:val="32"/>
          <w:szCs w:val="32"/>
        </w:rPr>
        <w:t>消防安全管理规定&gt;的通知》</w:t>
      </w:r>
      <w:r>
        <w:rPr>
          <w:rFonts w:hint="eastAsia" w:ascii="仿宋_GB2312" w:hAnsi="仿宋_GB2312" w:eastAsia="仿宋_GB2312" w:cs="仿宋_GB2312"/>
          <w:color w:val="auto"/>
          <w:sz w:val="32"/>
          <w:szCs w:val="32"/>
          <w:lang w:val="en-US" w:eastAsia="zh-CN"/>
        </w:rPr>
        <w:t>(民发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37号)、《广东省消防工作若干规定》（广东省人民政府令第282号）</w:t>
      </w:r>
      <w:r>
        <w:rPr>
          <w:rFonts w:hint="eastAsia" w:ascii="仿宋_GB2312" w:hAnsi="仿宋_GB2312" w:eastAsia="仿宋_GB2312" w:cs="仿宋_GB2312"/>
          <w:color w:val="auto"/>
          <w:sz w:val="32"/>
          <w:szCs w:val="32"/>
        </w:rPr>
        <w:t>等有关文件的要求，开展</w:t>
      </w:r>
      <w:r>
        <w:rPr>
          <w:rFonts w:hint="eastAsia" w:ascii="仿宋_GB2312" w:hAnsi="仿宋_GB2312" w:eastAsia="仿宋_GB2312" w:cs="仿宋_GB2312"/>
          <w:color w:val="auto"/>
          <w:sz w:val="32"/>
          <w:szCs w:val="32"/>
          <w:lang w:eastAsia="zh-CN"/>
        </w:rPr>
        <w:t>日常</w:t>
      </w:r>
      <w:r>
        <w:rPr>
          <w:rFonts w:hint="eastAsia" w:ascii="仿宋_GB2312" w:hAnsi="仿宋_GB2312" w:eastAsia="仿宋_GB2312" w:cs="仿宋_GB2312"/>
          <w:color w:val="auto"/>
          <w:sz w:val="32"/>
          <w:szCs w:val="32"/>
        </w:rPr>
        <w:t>消防安全巡查，督导</w:t>
      </w:r>
      <w:r>
        <w:rPr>
          <w:rFonts w:hint="eastAsia" w:ascii="仿宋_GB2312" w:hAnsi="仿宋_GB2312" w:eastAsia="仿宋_GB2312" w:cs="仿宋_GB2312"/>
          <w:color w:val="auto"/>
          <w:sz w:val="32"/>
          <w:szCs w:val="32"/>
          <w:lang w:eastAsia="zh-CN"/>
        </w:rPr>
        <w:t>养老服务机构（场所）</w:t>
      </w:r>
      <w:r>
        <w:rPr>
          <w:rFonts w:hint="eastAsia" w:ascii="仿宋_GB2312" w:hAnsi="仿宋_GB2312" w:eastAsia="仿宋_GB2312" w:cs="仿宋_GB2312"/>
          <w:color w:val="auto"/>
          <w:sz w:val="32"/>
          <w:szCs w:val="32"/>
        </w:rPr>
        <w:t>落实消防安全隐患问题整改，开展消防安全宣传培训</w:t>
      </w:r>
      <w:r>
        <w:rPr>
          <w:rFonts w:hint="eastAsia" w:ascii="仿宋_GB2312" w:hAnsi="仿宋_GB2312" w:eastAsia="仿宋_GB2312" w:cs="仿宋_GB2312"/>
          <w:color w:val="auto"/>
          <w:sz w:val="32"/>
          <w:szCs w:val="32"/>
          <w:lang w:val="en-US" w:eastAsia="zh-CN"/>
        </w:rPr>
        <w:t>和消防安全演练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定期分析消防安全形势，</w:t>
      </w:r>
      <w:r>
        <w:rPr>
          <w:rFonts w:hint="eastAsia" w:ascii="仿宋_GB2312" w:hAnsi="仿宋_GB2312" w:eastAsia="仿宋_GB2312" w:cs="仿宋_GB2312"/>
          <w:color w:val="auto"/>
          <w:sz w:val="32"/>
          <w:szCs w:val="32"/>
        </w:rPr>
        <w:t>整理</w:t>
      </w:r>
      <w:r>
        <w:rPr>
          <w:rFonts w:hint="eastAsia" w:ascii="仿宋_GB2312" w:hAnsi="仿宋_GB2312" w:eastAsia="仿宋_GB2312" w:cs="仿宋_GB2312"/>
          <w:color w:val="auto"/>
          <w:sz w:val="32"/>
          <w:szCs w:val="32"/>
          <w:lang w:eastAsia="zh-CN"/>
        </w:rPr>
        <w:t>相</w:t>
      </w:r>
      <w:r>
        <w:rPr>
          <w:rFonts w:hint="eastAsia" w:ascii="仿宋_GB2312" w:hAnsi="仿宋_GB2312" w:eastAsia="仿宋_GB2312" w:cs="仿宋_GB2312"/>
          <w:color w:val="auto"/>
          <w:sz w:val="32"/>
          <w:szCs w:val="32"/>
        </w:rPr>
        <w:t>关消防台账资料，协助区民政局开展全区性的</w:t>
      </w:r>
      <w:r>
        <w:rPr>
          <w:rFonts w:hint="eastAsia" w:ascii="仿宋_GB2312" w:hAnsi="仿宋_GB2312" w:eastAsia="仿宋_GB2312" w:cs="仿宋_GB2312"/>
          <w:color w:val="auto"/>
          <w:sz w:val="32"/>
          <w:szCs w:val="32"/>
          <w:lang w:eastAsia="zh-CN"/>
        </w:rPr>
        <w:t>养老服务机构（场所）</w:t>
      </w:r>
      <w:r>
        <w:rPr>
          <w:rFonts w:hint="eastAsia" w:ascii="仿宋_GB2312" w:hAnsi="仿宋_GB2312" w:eastAsia="仿宋_GB2312" w:cs="仿宋_GB2312"/>
          <w:color w:val="auto"/>
          <w:sz w:val="32"/>
          <w:szCs w:val="32"/>
        </w:rPr>
        <w:t>消防安全检查</w:t>
      </w:r>
      <w:r>
        <w:rPr>
          <w:rFonts w:hint="eastAsia" w:ascii="仿宋_GB2312" w:hAnsi="仿宋_GB2312" w:eastAsia="仿宋_GB2312" w:cs="仿宋_GB2312"/>
          <w:color w:val="auto"/>
          <w:sz w:val="32"/>
          <w:szCs w:val="32"/>
          <w:lang w:val="en-US" w:eastAsia="zh-CN"/>
        </w:rPr>
        <w:t>和其他安全生产工作。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五、服务指标及质</w:t>
      </w:r>
      <w:r>
        <w:rPr>
          <w:rFonts w:hint="eastAsia" w:ascii="黑体" w:hAnsi="黑体" w:eastAsia="黑体" w:cs="黑体"/>
          <w:color w:val="auto"/>
          <w:sz w:val="32"/>
          <w:szCs w:val="32"/>
          <w:lang w:eastAsia="zh-CN"/>
        </w:rPr>
        <w:t>素</w:t>
      </w:r>
      <w:r>
        <w:rPr>
          <w:rFonts w:hint="eastAsia" w:ascii="黑体" w:hAnsi="黑体" w:eastAsia="黑体" w:cs="黑体"/>
          <w:color w:val="auto"/>
          <w:sz w:val="32"/>
          <w:szCs w:val="32"/>
        </w:rPr>
        <w:t>要求</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zh-TW"/>
        </w:rPr>
        <w:t>（一）</w:t>
      </w:r>
      <w:r>
        <w:rPr>
          <w:rFonts w:hint="eastAsia" w:ascii="楷体_GB2312" w:hAnsi="楷体_GB2312" w:eastAsia="楷体_GB2312" w:cs="楷体_GB2312"/>
          <w:color w:val="auto"/>
          <w:sz w:val="32"/>
          <w:szCs w:val="32"/>
          <w:highlight w:val="none"/>
          <w:lang w:val="en-US" w:eastAsia="zh-CN"/>
        </w:rPr>
        <w:t>建立健全消防安全督导机制和闭环管理工作机制</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为确保养老服务机构（场所）的消防安全，必须建立并完善消防安全督导机制和闭环管理工作机制。这包括但不限于定期的消防安全检查、隐患排查以及应急演练等。</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color w:val="auto"/>
          <w:sz w:val="32"/>
          <w:szCs w:val="32"/>
          <w:highlight w:val="none"/>
          <w:lang w:val="zh-TW" w:eastAsia="zh-TW"/>
        </w:rPr>
      </w:pPr>
      <w:r>
        <w:rPr>
          <w:rFonts w:hint="eastAsia" w:ascii="楷体_GB2312" w:hAnsi="楷体_GB2312" w:eastAsia="楷体_GB2312" w:cs="楷体_GB2312"/>
          <w:color w:val="auto"/>
          <w:sz w:val="32"/>
          <w:szCs w:val="32"/>
          <w:highlight w:val="none"/>
          <w:lang w:val="zh-TW"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val="zh-TW" w:eastAsia="zh-CN"/>
        </w:rPr>
        <w:t>开展养老服务机构（场所）消防安全</w:t>
      </w:r>
      <w:r>
        <w:rPr>
          <w:rFonts w:hint="eastAsia" w:ascii="楷体_GB2312" w:hAnsi="楷体_GB2312" w:eastAsia="楷体_GB2312" w:cs="楷体_GB2312"/>
          <w:color w:val="auto"/>
          <w:sz w:val="32"/>
          <w:szCs w:val="32"/>
          <w:highlight w:val="none"/>
          <w:lang w:val="en-US" w:eastAsia="zh-CN"/>
        </w:rPr>
        <w:t>督导</w:t>
      </w:r>
      <w:r>
        <w:rPr>
          <w:rFonts w:hint="eastAsia" w:ascii="楷体_GB2312" w:hAnsi="楷体_GB2312" w:eastAsia="楷体_GB2312" w:cs="楷体_GB2312"/>
          <w:color w:val="auto"/>
          <w:sz w:val="32"/>
          <w:szCs w:val="32"/>
          <w:highlight w:val="none"/>
          <w:lang w:val="zh-TW" w:eastAsia="zh-CN"/>
        </w:rPr>
        <w:t>检</w:t>
      </w:r>
      <w:r>
        <w:rPr>
          <w:rFonts w:hint="eastAsia" w:ascii="楷体_GB2312" w:hAnsi="楷体_GB2312" w:eastAsia="楷体_GB2312" w:cs="楷体_GB2312"/>
          <w:color w:val="auto"/>
          <w:sz w:val="32"/>
          <w:szCs w:val="32"/>
          <w:highlight w:val="none"/>
          <w:lang w:val="zh-TW" w:eastAsia="zh-TW"/>
        </w:rPr>
        <w:t>查</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《中华人民共和国消防法》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《民政部 国家消防救援局关于印发&lt;</w:t>
      </w:r>
      <w:r>
        <w:rPr>
          <w:rFonts w:hint="eastAsia" w:ascii="仿宋_GB2312" w:hAnsi="仿宋_GB2312" w:eastAsia="仿宋_GB2312" w:cs="仿宋_GB2312"/>
          <w:color w:val="auto"/>
          <w:sz w:val="32"/>
          <w:szCs w:val="32"/>
          <w:lang w:eastAsia="zh-CN"/>
        </w:rPr>
        <w:t>养老服务机构</w:t>
      </w:r>
      <w:r>
        <w:rPr>
          <w:rFonts w:hint="eastAsia" w:ascii="仿宋_GB2312" w:hAnsi="仿宋_GB2312" w:eastAsia="仿宋_GB2312" w:cs="仿宋_GB2312"/>
          <w:color w:val="auto"/>
          <w:sz w:val="32"/>
          <w:szCs w:val="32"/>
        </w:rPr>
        <w:t>消防安全管理规定&gt;的通知》</w:t>
      </w:r>
      <w:r>
        <w:rPr>
          <w:rFonts w:hint="eastAsia" w:ascii="仿宋_GB2312" w:hAnsi="仿宋_GB2312" w:eastAsia="仿宋_GB2312" w:cs="仿宋_GB2312"/>
          <w:color w:val="auto"/>
          <w:sz w:val="32"/>
          <w:szCs w:val="32"/>
          <w:lang w:val="en-US" w:eastAsia="zh-CN"/>
        </w:rPr>
        <w:t>(民发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37号)、《广东省消防工作若干规定》（广东省人民政府令第282号）、《社会单位消防安全自查自改指引》等法律法规规定，对应文件内容，开展对</w:t>
      </w:r>
      <w:r>
        <w:rPr>
          <w:rFonts w:hint="eastAsia" w:ascii="仿宋_GB2312" w:hAnsi="仿宋_GB2312" w:eastAsia="仿宋_GB2312" w:cs="仿宋_GB2312"/>
          <w:color w:val="auto"/>
          <w:sz w:val="32"/>
          <w:szCs w:val="32"/>
          <w:lang w:eastAsia="zh-CN"/>
        </w:rPr>
        <w:t>养老服务机构（场所）</w:t>
      </w:r>
      <w:r>
        <w:rPr>
          <w:rFonts w:hint="eastAsia" w:ascii="仿宋_GB2312" w:hAnsi="仿宋_GB2312" w:eastAsia="仿宋_GB2312" w:cs="仿宋_GB2312"/>
          <w:color w:val="auto"/>
          <w:sz w:val="32"/>
          <w:szCs w:val="32"/>
          <w:lang w:val="en-US" w:eastAsia="zh-CN"/>
        </w:rPr>
        <w:t>消防安全督导检查。</w:t>
      </w:r>
    </w:p>
    <w:p>
      <w:pPr>
        <w:keepNext w:val="0"/>
        <w:keepLines w:val="0"/>
        <w:pageBreakBefore w:val="0"/>
        <w:numPr>
          <w:ilvl w:val="0"/>
          <w:numId w:val="1"/>
        </w:numPr>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根据上级文件或区民政局有关工作部署，落实有关消防安全等及其他工作任务。</w:t>
      </w:r>
    </w:p>
    <w:p>
      <w:pPr>
        <w:keepNext w:val="0"/>
        <w:keepLines w:val="0"/>
        <w:pageBreakBefore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养老服务机构（场所）应密切关注并严格执行上级部门下发的文件要求，以及区民政局的工作部署。对于消防安全相关的任务，应确保及时、准确地执行，并做好相关记录。</w:t>
      </w:r>
    </w:p>
    <w:p>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auto"/>
          <w:lang w:val="zh-TW" w:eastAsia="zh-CN"/>
        </w:rPr>
      </w:pPr>
      <w:r>
        <w:rPr>
          <w:rFonts w:hint="eastAsia" w:ascii="楷体_GB2312" w:hAnsi="楷体_GB2312" w:eastAsia="楷体_GB2312" w:cs="楷体_GB2312"/>
          <w:color w:val="auto"/>
          <w:sz w:val="32"/>
          <w:szCs w:val="32"/>
          <w:shd w:val="clear" w:color="auto" w:fill="auto"/>
          <w:lang w:val="zh-TW" w:eastAsia="zh-CN"/>
        </w:rPr>
        <w:t>本项目</w:t>
      </w:r>
      <w:r>
        <w:rPr>
          <w:rFonts w:hint="eastAsia" w:ascii="楷体_GB2312" w:hAnsi="楷体_GB2312" w:eastAsia="楷体_GB2312" w:cs="楷体_GB2312"/>
          <w:color w:val="auto"/>
          <w:sz w:val="32"/>
          <w:szCs w:val="32"/>
          <w:shd w:val="clear" w:color="auto" w:fill="auto"/>
          <w:lang w:val="en-US" w:eastAsia="zh-CN"/>
        </w:rPr>
        <w:t>督导检查工作原则上由</w:t>
      </w:r>
      <w:r>
        <w:rPr>
          <w:rFonts w:hint="eastAsia" w:ascii="楷体_GB2312" w:hAnsi="楷体_GB2312" w:eastAsia="楷体_GB2312" w:cs="楷体_GB2312"/>
          <w:color w:val="auto"/>
          <w:sz w:val="32"/>
          <w:szCs w:val="32"/>
          <w:shd w:val="clear" w:color="auto" w:fill="auto"/>
          <w:lang w:val="zh-TW" w:eastAsia="zh-CN"/>
        </w:rPr>
        <w:t>服务方提供车辆。</w:t>
      </w:r>
    </w:p>
    <w:p>
      <w:pPr>
        <w:keepNext w:val="0"/>
        <w:keepLines w:val="0"/>
        <w:pageBreakBefore w:val="0"/>
        <w:numPr>
          <w:ilvl w:val="-1"/>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zh-TW" w:eastAsia="zh-CN"/>
        </w:rPr>
      </w:pPr>
      <w:r>
        <w:rPr>
          <w:rFonts w:hint="eastAsia" w:ascii="仿宋_GB2312" w:hAnsi="仿宋_GB2312" w:eastAsia="仿宋_GB2312" w:cs="仿宋_GB2312"/>
          <w:color w:val="auto"/>
          <w:sz w:val="32"/>
          <w:szCs w:val="32"/>
          <w:shd w:val="clear" w:color="auto" w:fill="auto"/>
          <w:lang w:val="zh-TW" w:eastAsia="zh-CN"/>
        </w:rPr>
        <w:t>为确保督导检查工作的顺利进行，服务方应提供必要的交通工具，以便于检查人员能够高效、便捷地到达养老服务机构（场所）进行现场检查。车辆的安排应确保安全、舒适，并符合相关法规要求。</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项目</w:t>
      </w:r>
      <w:r>
        <w:rPr>
          <w:rFonts w:hint="eastAsia" w:ascii="黑体" w:hAnsi="黑体" w:eastAsia="黑体" w:cs="黑体"/>
          <w:color w:val="auto"/>
          <w:sz w:val="32"/>
          <w:szCs w:val="32"/>
        </w:rPr>
        <w:t>服务时间及人员要求</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项目合同期一年</w:t>
      </w:r>
      <w:r>
        <w:rPr>
          <w:rFonts w:hint="eastAsia" w:ascii="仿宋_GB2312" w:hAnsi="仿宋_GB2312" w:eastAsia="仿宋_GB2312" w:cs="仿宋_GB2312"/>
          <w:color w:val="auto"/>
          <w:sz w:val="32"/>
          <w:szCs w:val="32"/>
          <w:shd w:val="clear" w:color="auto" w:fill="auto"/>
          <w:lang w:val="en-US" w:eastAsia="zh-CN"/>
        </w:rPr>
        <w:t>，须配备3名专职工作人员，</w:t>
      </w:r>
      <w:r>
        <w:rPr>
          <w:rFonts w:hint="eastAsia" w:ascii="仿宋_GB2312" w:hAnsi="仿宋_GB2312" w:eastAsia="仿宋_GB2312" w:cs="仿宋_GB2312"/>
          <w:color w:val="auto"/>
          <w:sz w:val="32"/>
          <w:szCs w:val="32"/>
          <w:shd w:val="clear" w:color="auto" w:fill="auto"/>
          <w:lang w:val="en-US" w:eastAsia="zh-CN"/>
        </w:rPr>
        <w:t>其中，需具备消防设施操作员中级资格证书不少于2名，1名持有C1或以上机动车驾驶证；1名有一定的文字功底，负责对项目台账资料收集、整理、归档等工作，具有较强的沟通能力，熟练操作各类办公软件。</w:t>
      </w:r>
    </w:p>
    <w:bookmarkEnd w:id="1"/>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七、</w:t>
      </w:r>
      <w:r>
        <w:rPr>
          <w:rFonts w:ascii="黑体" w:hAnsi="黑体" w:eastAsia="黑体"/>
          <w:color w:val="auto"/>
          <w:sz w:val="32"/>
          <w:szCs w:val="32"/>
        </w:rPr>
        <w:t>项目比选</w:t>
      </w:r>
      <w:r>
        <w:rPr>
          <w:rFonts w:hint="eastAsia" w:ascii="黑体" w:hAnsi="黑体" w:eastAsia="黑体"/>
          <w:color w:val="auto"/>
          <w:sz w:val="32"/>
          <w:szCs w:val="32"/>
        </w:rPr>
        <w:t>、</w:t>
      </w:r>
      <w:r>
        <w:rPr>
          <w:rFonts w:hint="eastAsia" w:ascii="黑体" w:hAnsi="黑体" w:eastAsia="黑体"/>
          <w:color w:val="auto"/>
          <w:sz w:val="32"/>
          <w:szCs w:val="32"/>
          <w:lang w:val="en-US" w:eastAsia="zh-CN"/>
        </w:rPr>
        <w:t>指标、</w:t>
      </w:r>
      <w:r>
        <w:rPr>
          <w:rFonts w:ascii="黑体" w:hAnsi="黑体" w:eastAsia="黑体"/>
          <w:color w:val="auto"/>
          <w:sz w:val="32"/>
          <w:szCs w:val="32"/>
        </w:rPr>
        <w:t>总价</w:t>
      </w:r>
      <w:r>
        <w:rPr>
          <w:rFonts w:hint="eastAsia" w:ascii="黑体" w:hAnsi="黑体" w:eastAsia="黑体"/>
          <w:color w:val="auto"/>
          <w:sz w:val="32"/>
          <w:szCs w:val="32"/>
        </w:rPr>
        <w:t>、付款方式</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（一）项目比选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eastAsia="宋体"/>
          <w:color w:val="auto"/>
          <w:lang w:val="en-US" w:eastAsia="zh-CN"/>
        </w:rPr>
      </w:pPr>
      <w:r>
        <w:rPr>
          <w:rFonts w:ascii="仿宋_GB2312" w:hAnsi="Times New Roman" w:eastAsia="仿宋_GB2312"/>
          <w:color w:val="auto"/>
          <w:sz w:val="32"/>
          <w:szCs w:val="32"/>
        </w:rPr>
        <w:t>本项目重点比选</w:t>
      </w:r>
      <w:r>
        <w:rPr>
          <w:rFonts w:hint="eastAsia" w:ascii="仿宋_GB2312" w:eastAsia="仿宋_GB2312"/>
          <w:color w:val="auto"/>
          <w:sz w:val="32"/>
          <w:szCs w:val="32"/>
        </w:rPr>
        <w:t>承接</w:t>
      </w:r>
      <w:r>
        <w:rPr>
          <w:rFonts w:hint="eastAsia" w:ascii="仿宋_GB2312" w:eastAsia="仿宋_GB2312"/>
          <w:color w:val="auto"/>
          <w:sz w:val="32"/>
          <w:szCs w:val="32"/>
          <w:lang w:eastAsia="zh-CN"/>
        </w:rPr>
        <w:t>企业</w:t>
      </w:r>
      <w:r>
        <w:rPr>
          <w:rFonts w:ascii="仿宋_GB2312" w:hAnsi="Times New Roman" w:eastAsia="仿宋_GB2312"/>
          <w:color w:val="auto"/>
          <w:sz w:val="32"/>
          <w:szCs w:val="32"/>
        </w:rPr>
        <w:t>项目工作方案</w:t>
      </w:r>
      <w:r>
        <w:rPr>
          <w:rFonts w:hint="eastAsia" w:ascii="仿宋_GB2312" w:hAnsi="Times New Roman" w:eastAsia="仿宋_GB2312"/>
          <w:color w:val="auto"/>
          <w:sz w:val="32"/>
          <w:szCs w:val="32"/>
        </w:rPr>
        <w:t>、</w:t>
      </w:r>
      <w:r>
        <w:rPr>
          <w:rFonts w:ascii="仿宋_GB2312" w:hAnsi="Times New Roman" w:eastAsia="仿宋_GB2312"/>
          <w:color w:val="auto"/>
          <w:sz w:val="32"/>
          <w:szCs w:val="32"/>
        </w:rPr>
        <w:t>措施</w:t>
      </w:r>
      <w:r>
        <w:rPr>
          <w:rFonts w:hint="eastAsia" w:ascii="仿宋_GB2312" w:hAnsi="Times New Roman" w:eastAsia="仿宋_GB2312"/>
          <w:color w:val="auto"/>
          <w:sz w:val="32"/>
          <w:szCs w:val="32"/>
        </w:rPr>
        <w:t>及需求响应程度等。</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（二）项目</w:t>
      </w:r>
      <w:r>
        <w:rPr>
          <w:rFonts w:hint="eastAsia" w:ascii="楷体_GB2312" w:hAnsi="楷体_GB2312" w:eastAsia="楷体_GB2312" w:cs="楷体_GB2312"/>
          <w:color w:val="auto"/>
          <w:sz w:val="32"/>
          <w:szCs w:val="32"/>
          <w:lang w:val="en-US" w:eastAsia="zh-CN"/>
        </w:rPr>
        <w:t>指标</w:t>
      </w:r>
    </w:p>
    <w:tbl>
      <w:tblPr>
        <w:tblStyle w:val="4"/>
        <w:tblW w:w="876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55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rPr>
              <w:t>项目</w:t>
            </w:r>
            <w:r>
              <w:rPr>
                <w:rFonts w:hint="eastAsia" w:ascii="黑体" w:hAnsi="黑体" w:eastAsia="黑体" w:cs="黑体"/>
                <w:color w:val="auto"/>
                <w:sz w:val="30"/>
                <w:szCs w:val="30"/>
                <w:highlight w:val="none"/>
                <w:lang w:val="en-US" w:eastAsia="zh-CN"/>
              </w:rPr>
              <w:t>内容</w:t>
            </w:r>
          </w:p>
        </w:tc>
        <w:tc>
          <w:tcPr>
            <w:tcW w:w="555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服务指标</w:t>
            </w:r>
          </w:p>
        </w:tc>
        <w:tc>
          <w:tcPr>
            <w:tcW w:w="105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0"/>
                <w:szCs w:val="30"/>
                <w:highlight w:val="yellow"/>
              </w:rPr>
            </w:pPr>
            <w:r>
              <w:rPr>
                <w:rFonts w:hint="eastAsia" w:ascii="黑体" w:hAnsi="黑体" w:eastAsia="黑体" w:cs="黑体"/>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216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一、建立健全消防安全督导机制</w:t>
            </w:r>
          </w:p>
        </w:tc>
        <w:tc>
          <w:tcPr>
            <w:tcW w:w="5550" w:type="dxa"/>
            <w:noWrap w:val="0"/>
            <w:vAlign w:val="center"/>
          </w:tcPr>
          <w:p>
            <w:pPr>
              <w:keepNext w:val="0"/>
              <w:keepLines w:val="0"/>
              <w:pageBreakBefore w:val="0"/>
              <w:numPr>
                <w:ilvl w:val="-1"/>
                <w:numId w:val="0"/>
              </w:numPr>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trike w:val="0"/>
                <w:color w:val="auto"/>
                <w:sz w:val="28"/>
                <w:szCs w:val="28"/>
                <w:highlight w:val="none"/>
                <w:lang w:val="en-US" w:eastAsia="zh-CN"/>
              </w:rPr>
            </w:pPr>
            <w:r>
              <w:rPr>
                <w:rFonts w:hint="eastAsia" w:ascii="仿宋_GB2312" w:hAnsi="仿宋_GB2312" w:eastAsia="仿宋_GB2312" w:cs="仿宋_GB2312"/>
                <w:strike w:val="0"/>
                <w:color w:val="auto"/>
                <w:sz w:val="28"/>
                <w:szCs w:val="28"/>
                <w:highlight w:val="none"/>
                <w:lang w:val="en-US" w:eastAsia="zh-CN"/>
              </w:rPr>
              <w:t>1.建立健全消防安全督导机制和闭环管理工作机制。</w:t>
            </w:r>
          </w:p>
          <w:p>
            <w:pPr>
              <w:keepNext w:val="0"/>
              <w:keepLines w:val="0"/>
              <w:pageBreakBefore w:val="0"/>
              <w:widowControl/>
              <w:numPr>
                <w:ilvl w:val="-1"/>
                <w:numId w:val="0"/>
              </w:numPr>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2.制定工作计划，原则上工作计划要做到常换主题紧扣各级部门关于消防安全等有关工作部署。</w:t>
            </w:r>
          </w:p>
        </w:tc>
        <w:tc>
          <w:tcPr>
            <w:tcW w:w="1050" w:type="dxa"/>
            <w:noWrap w:val="0"/>
            <w:vAlign w:val="center"/>
          </w:tcPr>
          <w:p>
            <w:pPr>
              <w:keepNext w:val="0"/>
              <w:keepLines w:val="0"/>
              <w:pageBreakBefore w:val="0"/>
              <w:widowControl w:val="0"/>
              <w:numPr>
                <w:ilvl w:val="0"/>
                <w:numId w:val="0"/>
              </w:numPr>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216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消防安全检查及消防隐患整改督导</w:t>
            </w:r>
            <w:r>
              <w:rPr>
                <w:rFonts w:hint="eastAsia" w:ascii="仿宋_GB2312" w:hAnsi="仿宋_GB2312" w:eastAsia="仿宋_GB2312" w:cs="仿宋_GB2312"/>
                <w:color w:val="auto"/>
                <w:sz w:val="28"/>
                <w:szCs w:val="28"/>
                <w:highlight w:val="none"/>
                <w:lang w:eastAsia="zh-CN"/>
              </w:rPr>
              <w:t>，协助整理并完善消防工作台账</w:t>
            </w:r>
          </w:p>
        </w:tc>
        <w:tc>
          <w:tcPr>
            <w:tcW w:w="5550" w:type="dxa"/>
            <w:noWrap w:val="0"/>
            <w:vAlign w:val="center"/>
          </w:tcPr>
          <w:p>
            <w:pPr>
              <w:keepNext w:val="0"/>
              <w:keepLines w:val="0"/>
              <w:pageBreakBefore w:val="0"/>
              <w:numPr>
                <w:ilvl w:val="-1"/>
                <w:numId w:val="0"/>
              </w:numPr>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安全检查</w:t>
            </w:r>
            <w:r>
              <w:rPr>
                <w:rFonts w:hint="eastAsia" w:ascii="仿宋_GB2312" w:hAnsi="仿宋_GB2312" w:eastAsia="仿宋_GB2312" w:cs="仿宋_GB2312"/>
                <w:color w:val="auto"/>
                <w:sz w:val="28"/>
                <w:szCs w:val="28"/>
                <w:highlight w:val="none"/>
                <w:lang w:eastAsia="zh-CN"/>
              </w:rPr>
              <w:t>周期</w:t>
            </w:r>
            <w:r>
              <w:rPr>
                <w:rFonts w:hint="eastAsia" w:ascii="仿宋_GB2312" w:hAnsi="仿宋_GB2312" w:eastAsia="仿宋_GB2312" w:cs="仿宋_GB2312"/>
                <w:color w:val="auto"/>
                <w:sz w:val="28"/>
                <w:szCs w:val="28"/>
                <w:highlight w:val="none"/>
                <w:lang w:val="en-US" w:eastAsia="zh-CN"/>
              </w:rPr>
              <w:t>原则上</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每两个月开展一轮全覆盖检查</w:t>
            </w:r>
            <w:r>
              <w:rPr>
                <w:rFonts w:hint="eastAsia" w:ascii="仿宋_GB2312" w:hAnsi="仿宋_GB2312" w:eastAsia="仿宋_GB2312" w:cs="仿宋_GB2312"/>
                <w:color w:val="auto"/>
                <w:sz w:val="28"/>
                <w:szCs w:val="28"/>
                <w:highlight w:val="none"/>
                <w:lang w:eastAsia="zh-CN"/>
              </w:rPr>
              <w:t>，检查对象为区</w:t>
            </w:r>
            <w:r>
              <w:rPr>
                <w:rFonts w:hint="eastAsia" w:ascii="仿宋_GB2312" w:hAnsi="仿宋_GB2312" w:eastAsia="仿宋_GB2312" w:cs="仿宋_GB2312"/>
                <w:color w:val="auto"/>
                <w:sz w:val="28"/>
                <w:szCs w:val="28"/>
                <w:highlight w:val="none"/>
                <w:lang w:val="en-US" w:eastAsia="zh-CN"/>
              </w:rPr>
              <w:t>辖</w:t>
            </w:r>
            <w:r>
              <w:rPr>
                <w:rFonts w:hint="eastAsia" w:ascii="仿宋_GB2312" w:hAnsi="仿宋_GB2312" w:eastAsia="仿宋_GB2312" w:cs="仿宋_GB2312"/>
                <w:color w:val="auto"/>
                <w:sz w:val="28"/>
                <w:szCs w:val="28"/>
                <w:highlight w:val="none"/>
                <w:lang w:eastAsia="zh-CN"/>
              </w:rPr>
              <w:t>内</w:t>
            </w:r>
            <w:r>
              <w:rPr>
                <w:rFonts w:hint="eastAsia" w:ascii="仿宋_GB2312" w:hAnsi="仿宋_GB2312" w:eastAsia="仿宋_GB2312" w:cs="仿宋_GB2312"/>
                <w:color w:val="auto"/>
                <w:sz w:val="28"/>
                <w:szCs w:val="28"/>
                <w:highlight w:val="none"/>
                <w:lang w:val="en-US" w:eastAsia="zh-CN"/>
              </w:rPr>
              <w:t>所有</w:t>
            </w:r>
            <w:r>
              <w:rPr>
                <w:rFonts w:hint="eastAsia" w:ascii="仿宋_GB2312" w:hAnsi="仿宋_GB2312" w:eastAsia="仿宋_GB2312" w:cs="仿宋_GB2312"/>
                <w:color w:val="auto"/>
                <w:sz w:val="28"/>
                <w:szCs w:val="28"/>
                <w:highlight w:val="none"/>
                <w:lang w:eastAsia="zh-CN"/>
              </w:rPr>
              <w:t>养老服务机构（场所）</w:t>
            </w:r>
            <w:r>
              <w:rPr>
                <w:rFonts w:hint="eastAsia" w:ascii="仿宋_GB2312" w:hAnsi="仿宋_GB2312" w:eastAsia="仿宋_GB2312" w:cs="仿宋_GB2312"/>
                <w:color w:val="auto"/>
                <w:sz w:val="28"/>
                <w:szCs w:val="28"/>
                <w:highlight w:val="none"/>
                <w:lang w:val="en-US" w:eastAsia="zh-CN"/>
              </w:rPr>
              <w:t>。在检查周期内开展夜查不少于6次，并在法定节假日期间派员配合开展检查。</w:t>
            </w:r>
          </w:p>
          <w:p>
            <w:pPr>
              <w:keepNext w:val="0"/>
              <w:keepLines w:val="0"/>
              <w:pageBreakBefore w:val="0"/>
              <w:numPr>
                <w:ilvl w:val="-1"/>
                <w:numId w:val="0"/>
              </w:numPr>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每次消防检查后要将检查中发现的</w:t>
            </w:r>
            <w:r>
              <w:rPr>
                <w:rFonts w:hint="eastAsia" w:ascii="仿宋_GB2312" w:hAnsi="仿宋_GB2312" w:eastAsia="仿宋_GB2312" w:cs="仿宋_GB2312"/>
                <w:color w:val="auto"/>
                <w:sz w:val="28"/>
                <w:szCs w:val="28"/>
                <w:highlight w:val="none"/>
              </w:rPr>
              <w:t>隐患</w:t>
            </w:r>
            <w:r>
              <w:rPr>
                <w:rFonts w:hint="eastAsia" w:ascii="仿宋_GB2312" w:hAnsi="仿宋_GB2312" w:eastAsia="仿宋_GB2312" w:cs="仿宋_GB2312"/>
                <w:color w:val="auto"/>
                <w:sz w:val="28"/>
                <w:szCs w:val="28"/>
                <w:highlight w:val="none"/>
                <w:lang w:eastAsia="zh-CN"/>
              </w:rPr>
              <w:t>情况记录到检查表中</w:t>
            </w:r>
            <w:r>
              <w:rPr>
                <w:rFonts w:hint="eastAsia" w:ascii="仿宋_GB2312" w:hAnsi="仿宋_GB2312" w:eastAsia="仿宋_GB2312" w:cs="仿宋_GB2312"/>
                <w:color w:val="auto"/>
                <w:sz w:val="28"/>
                <w:szCs w:val="28"/>
                <w:highlight w:val="none"/>
                <w:lang w:val="en-US" w:eastAsia="zh-CN"/>
              </w:rPr>
              <w:t>并督促指导养老服务机构完成安全隐患整改，形成闭环管理</w:t>
            </w:r>
            <w:r>
              <w:rPr>
                <w:rFonts w:hint="eastAsia" w:ascii="仿宋_GB2312" w:hAnsi="仿宋_GB2312" w:eastAsia="仿宋_GB2312" w:cs="仿宋_GB2312"/>
                <w:color w:val="auto"/>
                <w:sz w:val="28"/>
                <w:szCs w:val="28"/>
                <w:highlight w:val="none"/>
              </w:rPr>
              <w:t>。</w:t>
            </w:r>
          </w:p>
          <w:p>
            <w:pPr>
              <w:keepNext w:val="0"/>
              <w:keepLines w:val="0"/>
              <w:pageBreakBefore w:val="0"/>
              <w:numPr>
                <w:ilvl w:val="-1"/>
                <w:numId w:val="0"/>
              </w:numPr>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每轮检查完成“</w:t>
            </w:r>
            <w:r>
              <w:rPr>
                <w:rFonts w:hint="eastAsia" w:ascii="仿宋_GB2312" w:hAnsi="仿宋_GB2312" w:eastAsia="仿宋_GB2312" w:cs="仿宋_GB2312"/>
                <w:color w:val="auto"/>
                <w:sz w:val="28"/>
                <w:szCs w:val="28"/>
                <w:highlight w:val="none"/>
                <w:lang w:val="en-US" w:eastAsia="zh-CN"/>
              </w:rPr>
              <w:t>闭环”</w:t>
            </w:r>
            <w:r>
              <w:rPr>
                <w:rFonts w:hint="eastAsia" w:ascii="仿宋_GB2312" w:hAnsi="仿宋_GB2312" w:eastAsia="仿宋_GB2312" w:cs="仿宋_GB2312"/>
                <w:color w:val="auto"/>
                <w:sz w:val="28"/>
                <w:szCs w:val="28"/>
                <w:highlight w:val="none"/>
                <w:lang w:eastAsia="zh-CN"/>
              </w:rPr>
              <w:t>后，检查记录表进行汇总整理形成检查工作台账（含电子台账记录）交区民政局。</w:t>
            </w:r>
          </w:p>
          <w:p>
            <w:pPr>
              <w:keepNext w:val="0"/>
              <w:keepLines w:val="0"/>
              <w:pageBreakBefore w:val="0"/>
              <w:numPr>
                <w:ilvl w:val="-1"/>
                <w:numId w:val="0"/>
              </w:numPr>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trike w:val="0"/>
                <w:color w:val="auto"/>
                <w:sz w:val="28"/>
                <w:szCs w:val="28"/>
                <w:highlight w:val="none"/>
              </w:rPr>
            </w:pPr>
            <w:r>
              <w:rPr>
                <w:rFonts w:hint="eastAsia" w:ascii="仿宋_GB2312" w:hAnsi="仿宋_GB2312" w:eastAsia="仿宋_GB2312" w:cs="仿宋_GB2312"/>
                <w:strike w:val="0"/>
                <w:color w:val="auto"/>
                <w:sz w:val="28"/>
                <w:szCs w:val="28"/>
                <w:highlight w:val="none"/>
                <w:lang w:val="en-US" w:eastAsia="zh-CN"/>
              </w:rPr>
              <w:t>4.每年完成对每家养老服务机构（场所）的督导总结，包括检查发现的问题、整改落实的情况及下一步工作建议等方面进行总结。</w:t>
            </w:r>
          </w:p>
          <w:p>
            <w:pPr>
              <w:keepNext w:val="0"/>
              <w:keepLines w:val="0"/>
              <w:pageBreakBefore w:val="0"/>
              <w:widowControl w:val="0"/>
              <w:numPr>
                <w:ilvl w:val="-1"/>
                <w:numId w:val="0"/>
              </w:numPr>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5.按规范</w:t>
            </w:r>
            <w:r>
              <w:rPr>
                <w:rFonts w:hint="eastAsia" w:ascii="仿宋_GB2312" w:hAnsi="仿宋_GB2312" w:eastAsia="仿宋_GB2312" w:cs="仿宋_GB2312"/>
                <w:color w:val="auto"/>
                <w:sz w:val="28"/>
                <w:szCs w:val="28"/>
                <w:highlight w:val="none"/>
                <w:lang w:eastAsia="zh-CN"/>
              </w:rPr>
              <w:t>协助整理</w:t>
            </w:r>
            <w:r>
              <w:rPr>
                <w:rFonts w:hint="eastAsia" w:ascii="仿宋_GB2312" w:hAnsi="仿宋_GB2312" w:eastAsia="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lang w:eastAsia="zh-CN"/>
              </w:rPr>
              <w:t>消防工作台账。</w:t>
            </w:r>
          </w:p>
        </w:tc>
        <w:tc>
          <w:tcPr>
            <w:tcW w:w="1050" w:type="dxa"/>
            <w:noWrap w:val="0"/>
            <w:vAlign w:val="center"/>
          </w:tcPr>
          <w:p>
            <w:pPr>
              <w:keepNext w:val="0"/>
              <w:keepLines w:val="0"/>
              <w:pageBreakBefore w:val="0"/>
              <w:widowControl w:val="0"/>
              <w:numPr>
                <w:ilvl w:val="0"/>
                <w:numId w:val="0"/>
              </w:numPr>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三、指导督促</w:t>
            </w:r>
            <w:r>
              <w:rPr>
                <w:rFonts w:hint="eastAsia" w:ascii="仿宋_GB2312" w:hAnsi="仿宋_GB2312" w:eastAsia="仿宋_GB2312" w:cs="仿宋_GB2312"/>
                <w:color w:val="auto"/>
                <w:sz w:val="28"/>
                <w:szCs w:val="28"/>
                <w:highlight w:val="none"/>
                <w:lang w:eastAsia="zh-CN"/>
              </w:rPr>
              <w:t>养老服务机构（场所）完善制定应急预案，对机构内的员工进行消防安全技能培训，</w:t>
            </w:r>
            <w:r>
              <w:rPr>
                <w:rFonts w:hint="eastAsia" w:ascii="仿宋_GB2312" w:hAnsi="仿宋_GB2312" w:eastAsia="仿宋_GB2312" w:cs="仿宋_GB2312"/>
                <w:color w:val="auto"/>
                <w:sz w:val="28"/>
                <w:szCs w:val="28"/>
                <w:highlight w:val="none"/>
                <w:lang w:val="en-US" w:eastAsia="zh-CN"/>
              </w:rPr>
              <w:t>强化安全生产宣传教育</w:t>
            </w:r>
          </w:p>
        </w:tc>
        <w:tc>
          <w:tcPr>
            <w:tcW w:w="55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8"/>
                <w:szCs w:val="28"/>
                <w:highlight w:val="none"/>
                <w:lang w:val="en-US" w:eastAsia="zh-CN"/>
              </w:rPr>
              <w:t>指导督促</w:t>
            </w: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lang w:val="en-US" w:eastAsia="zh-CN"/>
              </w:rPr>
              <w:t>辖</w:t>
            </w:r>
            <w:r>
              <w:rPr>
                <w:rFonts w:hint="eastAsia" w:ascii="仿宋_GB2312" w:hAnsi="仿宋_GB2312" w:eastAsia="仿宋_GB2312" w:cs="仿宋_GB2312"/>
                <w:color w:val="auto"/>
                <w:sz w:val="28"/>
                <w:szCs w:val="28"/>
                <w:highlight w:val="none"/>
                <w:lang w:eastAsia="zh-CN"/>
              </w:rPr>
              <w:t>内</w:t>
            </w:r>
            <w:r>
              <w:rPr>
                <w:rFonts w:hint="eastAsia" w:ascii="仿宋_GB2312" w:hAnsi="仿宋_GB2312" w:eastAsia="仿宋_GB2312" w:cs="仿宋_GB2312"/>
                <w:color w:val="auto"/>
                <w:sz w:val="28"/>
                <w:szCs w:val="28"/>
                <w:highlight w:val="none"/>
                <w:lang w:val="en-US" w:eastAsia="zh-CN"/>
              </w:rPr>
              <w:t>运营中</w:t>
            </w:r>
            <w:r>
              <w:rPr>
                <w:rFonts w:hint="eastAsia" w:ascii="仿宋_GB2312" w:hAnsi="仿宋_GB2312" w:eastAsia="仿宋_GB2312" w:cs="仿宋_GB2312"/>
                <w:color w:val="auto"/>
                <w:sz w:val="28"/>
                <w:szCs w:val="28"/>
                <w:highlight w:val="none"/>
                <w:lang w:eastAsia="zh-CN"/>
              </w:rPr>
              <w:t>养老服务机构（场所）制定</w:t>
            </w:r>
            <w:r>
              <w:rPr>
                <w:rFonts w:hint="eastAsia" w:ascii="仿宋_GB2312" w:hAnsi="仿宋_GB2312" w:eastAsia="仿宋_GB2312" w:cs="仿宋_GB2312"/>
                <w:color w:val="auto"/>
                <w:sz w:val="28"/>
                <w:szCs w:val="28"/>
                <w:highlight w:val="none"/>
              </w:rPr>
              <w:t>应急预案</w:t>
            </w:r>
            <w:r>
              <w:rPr>
                <w:rFonts w:hint="eastAsia" w:ascii="仿宋_GB2312" w:hAnsi="仿宋_GB2312" w:eastAsia="仿宋_GB2312" w:cs="仿宋_GB2312"/>
                <w:color w:val="auto"/>
                <w:sz w:val="28"/>
                <w:szCs w:val="28"/>
                <w:highlight w:val="none"/>
                <w:lang w:eastAsia="zh-CN"/>
              </w:rPr>
              <w:t>，根据养老服务机构（场所）实际情况做到“一院一案”，并依照预案</w:t>
            </w:r>
            <w:r>
              <w:rPr>
                <w:rFonts w:hint="eastAsia" w:ascii="仿宋_GB2312" w:hAnsi="仿宋_GB2312" w:eastAsia="仿宋_GB2312" w:cs="仿宋_GB2312"/>
                <w:color w:val="auto"/>
                <w:sz w:val="28"/>
                <w:szCs w:val="28"/>
                <w:highlight w:val="none"/>
                <w:lang w:val="en-US" w:eastAsia="zh-CN"/>
              </w:rPr>
              <w:t>每年不少于1次对养老服务机构（场所）</w:t>
            </w:r>
            <w:r>
              <w:rPr>
                <w:rFonts w:hint="eastAsia" w:ascii="仿宋_GB2312" w:hAnsi="仿宋_GB2312" w:eastAsia="仿宋_GB2312" w:cs="仿宋_GB2312"/>
                <w:color w:val="auto"/>
                <w:sz w:val="28"/>
                <w:szCs w:val="28"/>
                <w:highlight w:val="none"/>
                <w:lang w:eastAsia="zh-CN"/>
              </w:rPr>
              <w:t>内的员工开展</w:t>
            </w:r>
            <w:r>
              <w:rPr>
                <w:rFonts w:hint="eastAsia" w:ascii="仿宋_GB2312" w:hAnsi="仿宋_GB2312" w:eastAsia="仿宋_GB2312" w:cs="仿宋_GB2312"/>
                <w:color w:val="auto"/>
                <w:sz w:val="28"/>
                <w:szCs w:val="28"/>
                <w:highlight w:val="none"/>
              </w:rPr>
              <w:t>针对性消防培训</w:t>
            </w:r>
            <w:r>
              <w:rPr>
                <w:rFonts w:hint="eastAsia" w:ascii="仿宋_GB2312" w:hAnsi="仿宋_GB2312" w:eastAsia="仿宋_GB2312" w:cs="仿宋_GB2312"/>
                <w:color w:val="auto"/>
                <w:sz w:val="28"/>
                <w:szCs w:val="28"/>
                <w:highlight w:val="none"/>
                <w:lang w:eastAsia="zh-CN"/>
              </w:rPr>
              <w:t>（现场应急指挥、消防器材应用、人员转移疏散等技能）。</w:t>
            </w:r>
            <w:r>
              <w:rPr>
                <w:rFonts w:hint="eastAsia" w:ascii="仿宋_GB2312" w:hAnsi="仿宋_GB2312" w:eastAsia="仿宋_GB2312" w:cs="仿宋_GB2312"/>
                <w:color w:val="auto"/>
                <w:sz w:val="28"/>
                <w:szCs w:val="28"/>
                <w:highlight w:val="none"/>
                <w:lang w:val="en-US" w:eastAsia="zh-CN"/>
              </w:rPr>
              <w:t>同时，加强对安全生产宣传教育。按相关消防安全培训活动要求对</w:t>
            </w: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lang w:val="en-US" w:eastAsia="zh-CN"/>
              </w:rPr>
              <w:t>辖</w:t>
            </w:r>
            <w:r>
              <w:rPr>
                <w:rFonts w:hint="eastAsia" w:ascii="仿宋_GB2312" w:hAnsi="仿宋_GB2312" w:eastAsia="仿宋_GB2312" w:cs="仿宋_GB2312"/>
                <w:color w:val="auto"/>
                <w:sz w:val="28"/>
                <w:szCs w:val="28"/>
                <w:highlight w:val="none"/>
                <w:lang w:eastAsia="zh-CN"/>
              </w:rPr>
              <w:t>内</w:t>
            </w:r>
            <w:r>
              <w:rPr>
                <w:rFonts w:hint="eastAsia" w:ascii="仿宋_GB2312" w:hAnsi="仿宋_GB2312" w:eastAsia="仿宋_GB2312" w:cs="仿宋_GB2312"/>
                <w:color w:val="auto"/>
                <w:sz w:val="28"/>
                <w:szCs w:val="28"/>
                <w:highlight w:val="none"/>
                <w:lang w:val="en-US" w:eastAsia="zh-CN"/>
              </w:rPr>
              <w:t>营运中</w:t>
            </w:r>
            <w:r>
              <w:rPr>
                <w:rFonts w:hint="eastAsia" w:ascii="仿宋_GB2312" w:hAnsi="仿宋_GB2312" w:eastAsia="仿宋_GB2312" w:cs="仿宋_GB2312"/>
                <w:color w:val="auto"/>
                <w:sz w:val="28"/>
                <w:szCs w:val="28"/>
                <w:highlight w:val="none"/>
                <w:lang w:eastAsia="zh-CN"/>
              </w:rPr>
              <w:t>养老服务机构（场所）</w:t>
            </w:r>
            <w:r>
              <w:rPr>
                <w:rFonts w:hint="eastAsia" w:ascii="仿宋_GB2312" w:hAnsi="仿宋_GB2312" w:eastAsia="仿宋_GB2312" w:cs="仿宋_GB2312"/>
                <w:color w:val="auto"/>
                <w:sz w:val="28"/>
                <w:szCs w:val="28"/>
                <w:highlight w:val="none"/>
                <w:lang w:val="en-US" w:eastAsia="zh-CN"/>
              </w:rPr>
              <w:t>全覆盖落实到位。</w:t>
            </w:r>
          </w:p>
        </w:tc>
        <w:tc>
          <w:tcPr>
            <w:tcW w:w="10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16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消防</w:t>
            </w:r>
            <w:r>
              <w:rPr>
                <w:rFonts w:hint="eastAsia" w:ascii="仿宋_GB2312" w:hAnsi="仿宋_GB2312" w:eastAsia="仿宋_GB2312" w:cs="仿宋_GB2312"/>
                <w:color w:val="auto"/>
                <w:sz w:val="28"/>
                <w:szCs w:val="28"/>
                <w:highlight w:val="none"/>
                <w:lang w:eastAsia="zh-CN"/>
              </w:rPr>
              <w:t>应急</w:t>
            </w:r>
            <w:r>
              <w:rPr>
                <w:rFonts w:hint="eastAsia" w:ascii="仿宋_GB2312" w:hAnsi="仿宋_GB2312" w:eastAsia="仿宋_GB2312" w:cs="仿宋_GB2312"/>
                <w:color w:val="auto"/>
                <w:sz w:val="28"/>
                <w:szCs w:val="28"/>
                <w:highlight w:val="none"/>
              </w:rPr>
              <w:t>综合演练</w:t>
            </w:r>
          </w:p>
        </w:tc>
        <w:tc>
          <w:tcPr>
            <w:tcW w:w="55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8"/>
                <w:szCs w:val="28"/>
                <w:highlight w:val="none"/>
                <w:shd w:val="clear" w:color="auto" w:fill="auto"/>
                <w:lang w:val="en-US" w:eastAsia="zh-CN"/>
              </w:rPr>
              <w:t>每年不少于1次</w:t>
            </w:r>
            <w:r>
              <w:rPr>
                <w:rFonts w:hint="eastAsia" w:ascii="仿宋_GB2312" w:hAnsi="仿宋_GB2312" w:eastAsia="仿宋_GB2312" w:cs="仿宋_GB2312"/>
                <w:color w:val="auto"/>
                <w:sz w:val="28"/>
                <w:szCs w:val="28"/>
                <w:highlight w:val="none"/>
                <w:shd w:val="clear" w:color="auto" w:fill="auto"/>
                <w:lang w:eastAsia="zh-CN"/>
              </w:rPr>
              <w:t>对</w:t>
            </w: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lang w:val="en-US" w:eastAsia="zh-CN"/>
              </w:rPr>
              <w:t>辖</w:t>
            </w:r>
            <w:r>
              <w:rPr>
                <w:rFonts w:hint="eastAsia" w:ascii="仿宋_GB2312" w:hAnsi="仿宋_GB2312" w:eastAsia="仿宋_GB2312" w:cs="仿宋_GB2312"/>
                <w:color w:val="auto"/>
                <w:sz w:val="28"/>
                <w:szCs w:val="28"/>
                <w:highlight w:val="none"/>
                <w:lang w:eastAsia="zh-CN"/>
              </w:rPr>
              <w:t>内</w:t>
            </w:r>
            <w:r>
              <w:rPr>
                <w:rFonts w:hint="eastAsia" w:ascii="仿宋_GB2312" w:hAnsi="仿宋_GB2312" w:eastAsia="仿宋_GB2312" w:cs="仿宋_GB2312"/>
                <w:color w:val="auto"/>
                <w:sz w:val="28"/>
                <w:szCs w:val="28"/>
                <w:highlight w:val="none"/>
                <w:lang w:val="en-US" w:eastAsia="zh-CN"/>
              </w:rPr>
              <w:t>营运中</w:t>
            </w:r>
            <w:r>
              <w:rPr>
                <w:rFonts w:hint="eastAsia" w:ascii="仿宋_GB2312" w:hAnsi="仿宋_GB2312" w:eastAsia="仿宋_GB2312" w:cs="仿宋_GB2312"/>
                <w:color w:val="auto"/>
                <w:sz w:val="28"/>
                <w:szCs w:val="28"/>
                <w:highlight w:val="none"/>
                <w:lang w:eastAsia="zh-CN"/>
              </w:rPr>
              <w:t>养老服务机构（场所）</w:t>
            </w:r>
            <w:r>
              <w:rPr>
                <w:rFonts w:hint="eastAsia" w:ascii="仿宋_GB2312" w:hAnsi="仿宋_GB2312" w:eastAsia="仿宋_GB2312" w:cs="仿宋_GB2312"/>
                <w:strike w:val="0"/>
                <w:color w:val="auto"/>
                <w:sz w:val="28"/>
                <w:szCs w:val="28"/>
                <w:highlight w:val="none"/>
                <w:shd w:val="clear" w:color="auto" w:fill="auto"/>
                <w:lang w:eastAsia="zh-CN"/>
              </w:rPr>
              <w:t>以考核的方式</w:t>
            </w:r>
            <w:r>
              <w:rPr>
                <w:rFonts w:hint="eastAsia" w:ascii="仿宋_GB2312" w:hAnsi="仿宋_GB2312" w:eastAsia="仿宋_GB2312" w:cs="仿宋_GB2312"/>
                <w:color w:val="auto"/>
                <w:sz w:val="28"/>
                <w:szCs w:val="28"/>
                <w:highlight w:val="none"/>
                <w:shd w:val="clear" w:color="auto" w:fill="auto"/>
              </w:rPr>
              <w:t>开展消防</w:t>
            </w:r>
            <w:r>
              <w:rPr>
                <w:rFonts w:hint="eastAsia" w:ascii="仿宋_GB2312" w:hAnsi="仿宋_GB2312" w:eastAsia="仿宋_GB2312" w:cs="仿宋_GB2312"/>
                <w:color w:val="auto"/>
                <w:sz w:val="28"/>
                <w:szCs w:val="28"/>
                <w:highlight w:val="none"/>
                <w:shd w:val="clear" w:color="auto" w:fill="auto"/>
                <w:lang w:eastAsia="zh-CN"/>
              </w:rPr>
              <w:t>应急综合演练。</w:t>
            </w:r>
            <w:r>
              <w:rPr>
                <w:rFonts w:hint="eastAsia" w:ascii="仿宋_GB2312" w:hAnsi="仿宋_GB2312" w:eastAsia="仿宋_GB2312" w:cs="仿宋_GB2312"/>
                <w:color w:val="auto"/>
                <w:sz w:val="28"/>
                <w:szCs w:val="28"/>
                <w:highlight w:val="none"/>
                <w:shd w:val="clear" w:color="auto" w:fill="auto"/>
                <w:lang w:val="en-US" w:eastAsia="zh-CN"/>
              </w:rPr>
              <w:t>养老服务机构（场所）相关考核结果及应急处置能力评估报告要以书面形式提报区民政局</w:t>
            </w:r>
            <w:r>
              <w:rPr>
                <w:rFonts w:hint="eastAsia" w:ascii="仿宋_GB2312" w:hAnsi="仿宋_GB2312" w:eastAsia="仿宋_GB2312" w:cs="仿宋_GB2312"/>
                <w:color w:val="auto"/>
                <w:sz w:val="28"/>
                <w:szCs w:val="28"/>
                <w:highlight w:val="none"/>
                <w:shd w:val="clear" w:color="auto" w:fill="auto"/>
              </w:rPr>
              <w:t>。</w:t>
            </w:r>
          </w:p>
        </w:tc>
        <w:tc>
          <w:tcPr>
            <w:tcW w:w="10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yellow"/>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16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五、总结</w:t>
            </w:r>
          </w:p>
        </w:tc>
        <w:tc>
          <w:tcPr>
            <w:tcW w:w="55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1.终期自评报告。2.满意度调查。3.分析</w:t>
            </w:r>
            <w:r>
              <w:rPr>
                <w:rFonts w:hint="eastAsia" w:ascii="仿宋_GB2312" w:hAnsi="仿宋_GB2312" w:eastAsia="仿宋_GB2312" w:cs="仿宋_GB2312"/>
                <w:color w:val="auto"/>
                <w:sz w:val="28"/>
                <w:szCs w:val="28"/>
                <w:highlight w:val="none"/>
                <w:shd w:val="clear" w:color="auto" w:fill="auto"/>
              </w:rPr>
              <w:t>养老机构</w:t>
            </w:r>
            <w:r>
              <w:rPr>
                <w:rFonts w:hint="eastAsia" w:ascii="仿宋_GB2312" w:hAnsi="仿宋_GB2312" w:eastAsia="仿宋_GB2312" w:cs="仿宋_GB2312"/>
                <w:color w:val="auto"/>
                <w:sz w:val="28"/>
                <w:szCs w:val="28"/>
                <w:highlight w:val="none"/>
                <w:shd w:val="clear" w:color="auto" w:fill="auto"/>
                <w:lang w:val="en-US" w:eastAsia="zh-CN"/>
              </w:rPr>
              <w:t>消防安全情况</w:t>
            </w:r>
            <w:r>
              <w:rPr>
                <w:rFonts w:hint="eastAsia" w:ascii="仿宋_GB2312" w:hAnsi="仿宋_GB2312" w:eastAsia="仿宋_GB2312" w:cs="仿宋_GB2312"/>
                <w:color w:val="auto"/>
                <w:sz w:val="28"/>
                <w:szCs w:val="28"/>
                <w:highlight w:val="none"/>
                <w:shd w:val="clear" w:color="auto" w:fill="auto"/>
              </w:rPr>
              <w:t>，研究对策措施，对</w:t>
            </w:r>
            <w:r>
              <w:rPr>
                <w:rFonts w:hint="eastAsia" w:ascii="仿宋_GB2312" w:hAnsi="仿宋_GB2312" w:eastAsia="仿宋_GB2312" w:cs="仿宋_GB2312"/>
                <w:strike w:val="0"/>
                <w:color w:val="auto"/>
                <w:sz w:val="28"/>
                <w:szCs w:val="28"/>
                <w:highlight w:val="none"/>
                <w:shd w:val="clear" w:color="auto" w:fill="auto"/>
                <w:lang w:val="en-US" w:eastAsia="zh-CN"/>
              </w:rPr>
              <w:t>海珠</w:t>
            </w:r>
            <w:r>
              <w:rPr>
                <w:rFonts w:hint="eastAsia" w:ascii="仿宋_GB2312" w:hAnsi="仿宋_GB2312" w:eastAsia="仿宋_GB2312" w:cs="仿宋_GB2312"/>
                <w:color w:val="auto"/>
                <w:sz w:val="28"/>
                <w:szCs w:val="28"/>
                <w:highlight w:val="none"/>
                <w:shd w:val="clear" w:color="auto" w:fill="auto"/>
                <w:lang w:val="en-US" w:eastAsia="zh-CN"/>
              </w:rPr>
              <w:t>区</w:t>
            </w:r>
            <w:r>
              <w:rPr>
                <w:rFonts w:hint="eastAsia" w:ascii="仿宋_GB2312" w:hAnsi="仿宋_GB2312" w:eastAsia="仿宋_GB2312" w:cs="仿宋_GB2312"/>
                <w:color w:val="auto"/>
                <w:sz w:val="28"/>
                <w:szCs w:val="28"/>
                <w:highlight w:val="none"/>
                <w:shd w:val="clear" w:color="auto" w:fill="auto"/>
              </w:rPr>
              <w:t>养老机构</w:t>
            </w:r>
            <w:r>
              <w:rPr>
                <w:rFonts w:hint="eastAsia" w:ascii="仿宋_GB2312" w:hAnsi="仿宋_GB2312" w:eastAsia="仿宋_GB2312" w:cs="仿宋_GB2312"/>
                <w:color w:val="auto"/>
                <w:sz w:val="28"/>
                <w:szCs w:val="28"/>
                <w:highlight w:val="none"/>
                <w:shd w:val="clear" w:color="auto" w:fill="auto"/>
                <w:lang w:val="en-US" w:eastAsia="zh-CN"/>
              </w:rPr>
              <w:t>消防安全</w:t>
            </w:r>
            <w:r>
              <w:rPr>
                <w:rFonts w:hint="eastAsia" w:ascii="仿宋_GB2312" w:hAnsi="仿宋_GB2312" w:eastAsia="仿宋_GB2312" w:cs="仿宋_GB2312"/>
                <w:color w:val="auto"/>
                <w:sz w:val="28"/>
                <w:szCs w:val="28"/>
                <w:highlight w:val="none"/>
                <w:shd w:val="clear" w:color="auto" w:fill="auto"/>
              </w:rPr>
              <w:t>规范化管理提供有益参考</w:t>
            </w:r>
            <w:r>
              <w:rPr>
                <w:rFonts w:hint="eastAsia" w:ascii="仿宋_GB2312" w:hAnsi="仿宋_GB2312" w:eastAsia="仿宋_GB2312" w:cs="仿宋_GB2312"/>
                <w:color w:val="auto"/>
                <w:sz w:val="28"/>
                <w:szCs w:val="28"/>
                <w:highlight w:val="none"/>
                <w:shd w:val="clear" w:color="auto" w:fill="auto"/>
                <w:lang w:val="en-US" w:eastAsia="zh-CN"/>
              </w:rPr>
              <w:t>。</w:t>
            </w:r>
          </w:p>
        </w:tc>
        <w:tc>
          <w:tcPr>
            <w:tcW w:w="10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yellow"/>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160" w:type="dxa"/>
            <w:noWrap w:val="0"/>
            <w:vAlign w:val="center"/>
          </w:tcPr>
          <w:p>
            <w:pPr>
              <w:keepNext w:val="0"/>
              <w:keepLines w:val="0"/>
              <w:pageBreakBefore w:val="0"/>
              <w:widowControl w:val="0"/>
              <w:shd w:val="clear" w:color="05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六、其他</w:t>
            </w:r>
          </w:p>
        </w:tc>
        <w:tc>
          <w:tcPr>
            <w:tcW w:w="55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1.协助海珠区民政局按照各级有关安全生产，消防安全考核或阶段性重点工作等要求，完成各级考核任务。</w:t>
            </w:r>
          </w:p>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2.其他工作。</w:t>
            </w:r>
          </w:p>
        </w:tc>
        <w:tc>
          <w:tcPr>
            <w:tcW w:w="1050" w:type="dxa"/>
            <w:noWrap w:val="0"/>
            <w:vAlign w:val="center"/>
          </w:tcPr>
          <w:p>
            <w:pPr>
              <w:keepNext w:val="0"/>
              <w:keepLines w:val="0"/>
              <w:pageBreakBefore w:val="0"/>
              <w:widowControl w:val="0"/>
              <w:shd w:val="clear" w:color="060000" w:fill="auto"/>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yellow"/>
                <w:shd w:val="clear" w:color="auto" w:fill="auto"/>
                <w:lang w:eastAsia="zh-CN"/>
              </w:rPr>
            </w:pPr>
          </w:p>
        </w:tc>
      </w:tr>
      <w:bookmarkEnd w:id="0"/>
    </w:tbl>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项目</w:t>
      </w:r>
      <w:r>
        <w:rPr>
          <w:rFonts w:hint="eastAsia" w:ascii="楷体_GB2312" w:hAnsi="楷体_GB2312" w:eastAsia="楷体_GB2312" w:cs="楷体_GB2312"/>
          <w:color w:val="auto"/>
          <w:sz w:val="32"/>
          <w:szCs w:val="32"/>
          <w:lang w:val="en-US" w:eastAsia="zh-CN"/>
        </w:rPr>
        <w:t>总价</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1.项目经费：</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val="en-US" w:eastAsia="zh-CN"/>
        </w:rPr>
        <w:t>360000.00元（人民币叁拾陆万元整）。</w:t>
      </w:r>
      <w:r>
        <w:rPr>
          <w:rFonts w:hint="default" w:ascii="Times New Roman" w:hAnsi="Times New Roman" w:eastAsia="仿宋_GB2312" w:cs="Times New Roman"/>
          <w:color w:val="auto"/>
          <w:kern w:val="2"/>
          <w:sz w:val="32"/>
          <w:szCs w:val="32"/>
          <w:lang w:val="en-US" w:eastAsia="zh-CN" w:bidi="ar-SA"/>
        </w:rPr>
        <w:t>本项目重点比选项目工作方案和措施，本项目经费属额定经费，包干使用，超支不补，含人员经费、活动经费、培训经费、</w:t>
      </w:r>
      <w:r>
        <w:rPr>
          <w:rFonts w:hint="default" w:ascii="Times New Roman" w:hAnsi="Times New Roman" w:eastAsia="仿宋_GB2312" w:cs="Times New Roman"/>
          <w:color w:val="auto"/>
          <w:sz w:val="32"/>
          <w:szCs w:val="32"/>
          <w:u w:val="none"/>
        </w:rPr>
        <w:t>购买</w:t>
      </w:r>
      <w:r>
        <w:rPr>
          <w:rFonts w:hint="eastAsia" w:ascii="Times New Roman" w:hAnsi="Times New Roman" w:eastAsia="仿宋_GB2312" w:cs="Times New Roman"/>
          <w:color w:val="auto"/>
          <w:sz w:val="32"/>
          <w:szCs w:val="32"/>
          <w:u w:val="none"/>
          <w:lang w:val="en-US" w:eastAsia="zh-CN"/>
        </w:rPr>
        <w:t>办公</w:t>
      </w:r>
      <w:r>
        <w:rPr>
          <w:rFonts w:hint="default" w:ascii="Times New Roman" w:hAnsi="Times New Roman" w:eastAsia="仿宋_GB2312" w:cs="Times New Roman"/>
          <w:color w:val="auto"/>
          <w:sz w:val="32"/>
          <w:szCs w:val="32"/>
          <w:u w:val="none"/>
        </w:rPr>
        <w:t>物资</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媒体宣传经费、日常督导产生的交通费用等必需的工作经费，含其他杂费（包括评估费用、税费、财务报告、不可预见等其他费用）和在中国境内、外发生的与本服务项目执行有关的一切税费均由中选单位负担。</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本项目合同的款项均以人民币方式支付，支付的所需文件为合同、验收报告（加盖采购人公章）、正式全额发票等。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经费</w:t>
      </w:r>
      <w:r>
        <w:rPr>
          <w:rFonts w:hint="eastAsia" w:ascii="仿宋_GB2312" w:hAnsi="仿宋_GB2312" w:eastAsia="仿宋_GB2312" w:cs="仿宋_GB2312"/>
          <w:color w:val="auto"/>
          <w:sz w:val="32"/>
          <w:szCs w:val="32"/>
        </w:rPr>
        <w:t>分2期拨付，双方签订服务合同后支付第一期资金</w:t>
      </w:r>
      <w:r>
        <w:rPr>
          <w:rFonts w:hint="eastAsia" w:ascii="仿宋_GB2312" w:hAnsi="仿宋_GB2312" w:eastAsia="仿宋_GB2312" w:cs="仿宋_GB2312"/>
          <w:color w:val="auto"/>
          <w:sz w:val="32"/>
          <w:szCs w:val="32"/>
          <w:u w:val="single" w:color="auto"/>
          <w:lang w:val="en-US" w:eastAsia="zh-CN"/>
        </w:rPr>
        <w:t>21.6</w:t>
      </w:r>
      <w:r>
        <w:rPr>
          <w:rFonts w:hint="eastAsia" w:ascii="仿宋_GB2312" w:hAnsi="仿宋_GB2312" w:eastAsia="仿宋_GB2312" w:cs="仿宋_GB2312"/>
          <w:color w:val="auto"/>
          <w:sz w:val="32"/>
          <w:szCs w:val="32"/>
        </w:rPr>
        <w:t>万元（</w:t>
      </w:r>
      <w:bookmarkStart w:id="2" w:name="_GoBack"/>
      <w:bookmarkEnd w:id="2"/>
      <w:r>
        <w:rPr>
          <w:rFonts w:hint="eastAsia" w:ascii="仿宋_GB2312" w:hAnsi="仿宋_GB2312" w:eastAsia="仿宋_GB2312" w:cs="仿宋_GB2312"/>
          <w:color w:val="auto"/>
          <w:sz w:val="32"/>
          <w:szCs w:val="32"/>
        </w:rPr>
        <w:t>项目经费的</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结束，由第三方</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val="en-US" w:eastAsia="zh-CN"/>
        </w:rPr>
        <w:t>机构对项目进行评估，评估结果为“合格”及以上全额</w:t>
      </w:r>
      <w:r>
        <w:rPr>
          <w:rFonts w:hint="eastAsia" w:ascii="仿宋_GB2312" w:hAnsi="仿宋_GB2312" w:eastAsia="仿宋_GB2312" w:cs="仿宋_GB2312"/>
          <w:color w:val="auto"/>
          <w:sz w:val="32"/>
          <w:szCs w:val="32"/>
        </w:rPr>
        <w:t>支付第二期</w:t>
      </w:r>
      <w:r>
        <w:rPr>
          <w:rFonts w:hint="eastAsia" w:ascii="仿宋_GB2312" w:hAnsi="仿宋_GB2312" w:eastAsia="仿宋_GB2312" w:cs="仿宋_GB2312"/>
          <w:color w:val="auto"/>
          <w:sz w:val="32"/>
          <w:szCs w:val="32"/>
          <w:lang w:val="en-US" w:eastAsia="zh-CN"/>
        </w:rPr>
        <w:t>款项（除评估费用外）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评估结果为“基本合格”，不得参加下一年相同项目的竞选。</w:t>
      </w:r>
      <w:r>
        <w:rPr>
          <w:rFonts w:hint="eastAsia" w:ascii="仿宋_GB2312" w:hAnsi="仿宋_GB2312" w:eastAsia="仿宋_GB2312" w:cs="仿宋_GB2312"/>
          <w:color w:val="auto"/>
          <w:sz w:val="32"/>
          <w:szCs w:val="32"/>
        </w:rPr>
        <w:t>如项目末期评估不合格，</w:t>
      </w:r>
      <w:r>
        <w:rPr>
          <w:rFonts w:hint="eastAsia" w:ascii="仿宋_GB2312" w:hAnsi="仿宋_GB2312" w:eastAsia="仿宋_GB2312" w:cs="仿宋_GB2312"/>
          <w:color w:val="auto"/>
          <w:sz w:val="32"/>
          <w:szCs w:val="32"/>
          <w:lang w:val="en-US" w:eastAsia="zh-CN"/>
        </w:rPr>
        <w:t>限期进行整改，整改完成后，再予以支付</w:t>
      </w:r>
      <w:r>
        <w:rPr>
          <w:rFonts w:hint="eastAsia" w:ascii="仿宋_GB2312" w:hAnsi="仿宋_GB2312" w:eastAsia="仿宋_GB2312" w:cs="仿宋_GB2312"/>
          <w:color w:val="auto"/>
          <w:sz w:val="32"/>
          <w:szCs w:val="32"/>
        </w:rPr>
        <w:t>第二期</w:t>
      </w:r>
      <w:r>
        <w:rPr>
          <w:rFonts w:hint="eastAsia" w:ascii="仿宋_GB2312" w:hAnsi="仿宋_GB2312" w:eastAsia="仿宋_GB2312" w:cs="仿宋_GB2312"/>
          <w:color w:val="auto"/>
          <w:sz w:val="32"/>
          <w:szCs w:val="32"/>
          <w:lang w:val="en-US" w:eastAsia="zh-CN"/>
        </w:rPr>
        <w:t>款项（除评估费用外）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且两年内不得参加相同项目的竞选。</w:t>
      </w:r>
      <w:r>
        <w:rPr>
          <w:rFonts w:hint="eastAsia" w:ascii="仿宋_GB2312" w:hAnsi="仿宋_GB2312" w:eastAsia="仿宋_GB2312" w:cs="仿宋_GB2312"/>
          <w:color w:val="auto"/>
          <w:sz w:val="32"/>
          <w:szCs w:val="32"/>
        </w:rPr>
        <w:t>如项目有结余资金，应按原渠道返还。项目资金拨付均以区财政局支付流程实际时限为准。</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（备注：</w:t>
      </w:r>
      <w:r>
        <w:rPr>
          <w:rFonts w:hint="eastAsia" w:ascii="仿宋_GB2312" w:hAnsi="仿宋_GB2312" w:eastAsia="仿宋_GB2312" w:cs="仿宋_GB2312"/>
          <w:b/>
          <w:bCs/>
          <w:color w:val="auto"/>
          <w:sz w:val="32"/>
          <w:szCs w:val="32"/>
          <w:lang w:val="en-US" w:eastAsia="zh-CN"/>
        </w:rPr>
        <w:t>中选机构</w:t>
      </w:r>
      <w:r>
        <w:rPr>
          <w:rFonts w:hint="eastAsia" w:ascii="仿宋_GB2312" w:hAnsi="仿宋_GB2312" w:eastAsia="仿宋_GB2312" w:cs="仿宋_GB2312"/>
          <w:b/>
          <w:bCs/>
          <w:color w:val="auto"/>
          <w:sz w:val="32"/>
          <w:szCs w:val="32"/>
        </w:rPr>
        <w:t>在项目服务期</w:t>
      </w:r>
      <w:r>
        <w:rPr>
          <w:rFonts w:hint="eastAsia" w:ascii="仿宋_GB2312" w:hAnsi="仿宋_GB2312" w:eastAsia="仿宋_GB2312" w:cs="仿宋_GB2312"/>
          <w:b/>
          <w:bCs/>
          <w:color w:val="auto"/>
          <w:sz w:val="32"/>
          <w:szCs w:val="32"/>
          <w:lang w:val="en-US" w:eastAsia="zh-CN"/>
        </w:rPr>
        <w:t>内</w:t>
      </w:r>
      <w:r>
        <w:rPr>
          <w:rFonts w:hint="eastAsia" w:ascii="仿宋_GB2312" w:hAnsi="仿宋_GB2312" w:eastAsia="仿宋_GB2312" w:cs="仿宋_GB2312"/>
          <w:b/>
          <w:bCs/>
          <w:color w:val="auto"/>
          <w:sz w:val="32"/>
          <w:szCs w:val="32"/>
        </w:rPr>
        <w:t>完成约定的服务内容，提交相关报告及资料</w:t>
      </w:r>
      <w:r>
        <w:rPr>
          <w:rFonts w:hint="eastAsia" w:ascii="仿宋_GB2312" w:hAnsi="仿宋_GB2312" w:eastAsia="仿宋_GB2312" w:cs="仿宋_GB2312"/>
          <w:b/>
          <w:bCs/>
          <w:color w:val="auto"/>
          <w:sz w:val="32"/>
          <w:szCs w:val="32"/>
          <w:lang w:val="en-US" w:eastAsia="zh-CN"/>
        </w:rPr>
        <w:t>后</w:t>
      </w:r>
      <w:r>
        <w:rPr>
          <w:rFonts w:hint="eastAsia" w:ascii="仿宋_GB2312" w:hAnsi="仿宋_GB2312" w:eastAsia="仿宋_GB2312" w:cs="仿宋_GB2312"/>
          <w:b/>
          <w:bCs/>
          <w:color w:val="auto"/>
          <w:sz w:val="32"/>
          <w:szCs w:val="32"/>
        </w:rPr>
        <w:t>，由</w:t>
      </w:r>
      <w:r>
        <w:rPr>
          <w:rFonts w:hint="eastAsia" w:ascii="仿宋_GB2312" w:hAnsi="仿宋_GB2312" w:eastAsia="仿宋_GB2312" w:cs="仿宋_GB2312"/>
          <w:b/>
          <w:bCs/>
          <w:color w:val="auto"/>
          <w:sz w:val="32"/>
          <w:szCs w:val="32"/>
          <w:lang w:val="en-US" w:eastAsia="zh-CN"/>
        </w:rPr>
        <w:t>海珠区民政局独立</w:t>
      </w:r>
      <w:r>
        <w:rPr>
          <w:rFonts w:hint="eastAsia" w:ascii="仿宋_GB2312" w:hAnsi="仿宋_GB2312" w:eastAsia="仿宋_GB2312" w:cs="仿宋_GB2312"/>
          <w:b/>
          <w:bCs/>
          <w:color w:val="auto"/>
          <w:sz w:val="32"/>
          <w:szCs w:val="32"/>
        </w:rPr>
        <w:t>委托</w:t>
      </w:r>
      <w:r>
        <w:rPr>
          <w:rFonts w:hint="eastAsia" w:ascii="仿宋_GB2312" w:hAnsi="仿宋_GB2312" w:eastAsia="仿宋_GB2312" w:cs="仿宋_GB2312"/>
          <w:b/>
          <w:bCs/>
          <w:color w:val="auto"/>
          <w:sz w:val="32"/>
          <w:szCs w:val="32"/>
          <w:lang w:val="en-US" w:eastAsia="zh-CN"/>
        </w:rPr>
        <w:t>的</w:t>
      </w:r>
      <w:r>
        <w:rPr>
          <w:rFonts w:hint="eastAsia" w:ascii="仿宋_GB2312" w:hAnsi="仿宋_GB2312" w:eastAsia="仿宋_GB2312" w:cs="仿宋_GB2312"/>
          <w:b/>
          <w:bCs/>
          <w:color w:val="auto"/>
          <w:sz w:val="32"/>
          <w:szCs w:val="32"/>
        </w:rPr>
        <w:t>第三方机构对项目完成情况进行评估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评估费用（项目总费用的1%，以实际签订的评价协议约定为准）从该项目经费中列支，由海珠区民政局</w:t>
      </w:r>
      <w:r>
        <w:rPr>
          <w:rFonts w:hint="eastAsia" w:ascii="仿宋_GB2312" w:hAnsi="仿宋_GB2312" w:eastAsia="仿宋_GB2312" w:cs="仿宋_GB2312"/>
          <w:b/>
          <w:bCs/>
          <w:color w:val="auto"/>
          <w:sz w:val="32"/>
          <w:szCs w:val="32"/>
        </w:rPr>
        <w:t>直接支付给第三方评估机构）。</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、项目</w:t>
      </w:r>
      <w:r>
        <w:rPr>
          <w:rFonts w:hint="eastAsia" w:ascii="黑体" w:hAnsi="黑体" w:eastAsia="黑体" w:cs="黑体"/>
          <w:color w:val="auto"/>
          <w:sz w:val="32"/>
          <w:szCs w:val="32"/>
          <w:lang w:eastAsia="zh-CN"/>
        </w:rPr>
        <w:t>投标资料</w:t>
      </w:r>
      <w:r>
        <w:rPr>
          <w:rFonts w:hint="eastAsia" w:ascii="黑体" w:hAnsi="黑体" w:eastAsia="黑体" w:cs="黑体"/>
          <w:color w:val="auto"/>
          <w:sz w:val="32"/>
          <w:szCs w:val="32"/>
        </w:rPr>
        <w:t>递交截止时间、递交地点：</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single"/>
        </w:rPr>
      </w:pPr>
      <w:r>
        <w:rPr>
          <w:rFonts w:hint="eastAsia" w:ascii="楷体_GB2312" w:hAnsi="楷体_GB2312" w:eastAsia="楷体_GB2312" w:cs="楷体_GB2312"/>
          <w:color w:val="auto"/>
          <w:sz w:val="32"/>
          <w:szCs w:val="32"/>
          <w:u w:val="single"/>
        </w:rPr>
        <w:t>（一）</w:t>
      </w:r>
      <w:r>
        <w:rPr>
          <w:rFonts w:hint="eastAsia" w:ascii="楷体_GB2312" w:hAnsi="楷体_GB2312" w:eastAsia="楷体_GB2312" w:cs="楷体_GB2312"/>
          <w:color w:val="auto"/>
          <w:sz w:val="32"/>
          <w:szCs w:val="32"/>
          <w:u w:val="single"/>
          <w:lang w:val="en-US" w:eastAsia="zh-CN"/>
        </w:rPr>
        <w:t>递交资料截止时间：</w:t>
      </w:r>
      <w:r>
        <w:rPr>
          <w:rFonts w:hint="default" w:ascii="Times New Roman" w:hAnsi="Times New Roman" w:eastAsia="仿宋_GB2312" w:cs="Times New Roman"/>
          <w:color w:val="auto"/>
          <w:sz w:val="32"/>
          <w:szCs w:val="32"/>
          <w:u w:val="single"/>
          <w:lang w:val="en-US" w:eastAsia="zh-CN"/>
        </w:rPr>
        <w:t>202</w:t>
      </w:r>
      <w:r>
        <w:rPr>
          <w:rFonts w:hint="eastAsia" w:ascii="Times New Roman" w:hAnsi="Times New Roman" w:eastAsia="仿宋_GB2312" w:cs="Times New Roman"/>
          <w:color w:val="auto"/>
          <w:sz w:val="32"/>
          <w:szCs w:val="32"/>
          <w:u w:val="single"/>
          <w:lang w:val="en-US" w:eastAsia="zh-CN"/>
        </w:rPr>
        <w:t>4</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lang w:val="en-US" w:eastAsia="zh-CN"/>
        </w:rPr>
        <w:t>月</w:t>
      </w:r>
      <w:r>
        <w:rPr>
          <w:rFonts w:hint="eastAsia" w:ascii="Times New Roman" w:hAnsi="Times New Roman" w:eastAsia="仿宋_GB2312" w:cs="Times New Roman"/>
          <w:color w:val="auto"/>
          <w:sz w:val="32"/>
          <w:szCs w:val="32"/>
          <w:u w:val="single"/>
          <w:lang w:val="en-US" w:eastAsia="zh-CN"/>
        </w:rPr>
        <w:t>9</w:t>
      </w:r>
      <w:r>
        <w:rPr>
          <w:rFonts w:hint="default" w:ascii="Times New Roman" w:hAnsi="Times New Roman" w:eastAsia="仿宋_GB2312" w:cs="Times New Roman"/>
          <w:color w:val="auto"/>
          <w:sz w:val="32"/>
          <w:szCs w:val="32"/>
          <w:u w:val="single"/>
          <w:lang w:val="en-US" w:eastAsia="zh-CN"/>
        </w:rPr>
        <w:t>日1</w:t>
      </w:r>
      <w:r>
        <w:rPr>
          <w:rFonts w:hint="eastAsia" w:ascii="Times New Roman" w:hAnsi="Times New Roman" w:eastAsia="仿宋_GB2312" w:cs="Times New Roman"/>
          <w:color w:val="auto"/>
          <w:sz w:val="32"/>
          <w:szCs w:val="32"/>
          <w:u w:val="single"/>
          <w:lang w:val="en-US" w:eastAsia="zh-CN"/>
        </w:rPr>
        <w:t>8</w:t>
      </w:r>
      <w:r>
        <w:rPr>
          <w:rFonts w:hint="default" w:ascii="Times New Roman" w:hAnsi="Times New Roman" w:eastAsia="仿宋_GB2312" w:cs="Times New Roman"/>
          <w:color w:val="auto"/>
          <w:sz w:val="32"/>
          <w:szCs w:val="32"/>
          <w:u w:val="single"/>
          <w:lang w:val="en-US" w:eastAsia="zh-CN"/>
        </w:rPr>
        <w:t>时</w:t>
      </w:r>
      <w:r>
        <w:rPr>
          <w:rFonts w:hint="eastAsia" w:ascii="Times New Roman" w:hAnsi="Times New Roman" w:eastAsia="仿宋_GB2312" w:cs="Times New Roman"/>
          <w:color w:val="auto"/>
          <w:sz w:val="32"/>
          <w:szCs w:val="32"/>
          <w:u w:val="single"/>
          <w:lang w:val="en-US" w:eastAsia="zh-CN"/>
        </w:rPr>
        <w:t>（以邮戳时间为准）</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Style w:val="13"/>
          <w:rFonts w:ascii="仿宋_GB2312" w:hAnsi="仿宋_GB2312" w:eastAsia="仿宋_GB2312" w:cs="仿宋_GB2312"/>
          <w:b w:val="0"/>
          <w:bCs w:val="0"/>
          <w:smallCaps w:val="0"/>
          <w:color w:val="auto"/>
          <w:sz w:val="32"/>
          <w:szCs w:val="32"/>
        </w:rPr>
      </w:pPr>
      <w:r>
        <w:rPr>
          <w:rFonts w:hint="eastAsia" w:ascii="楷体_GB2312" w:hAnsi="楷体_GB2312" w:eastAsia="楷体_GB2312" w:cs="楷体_GB2312"/>
          <w:color w:val="auto"/>
          <w:sz w:val="32"/>
          <w:szCs w:val="32"/>
          <w:u w:val="single"/>
        </w:rPr>
        <w:t>（二）项目</w:t>
      </w:r>
      <w:r>
        <w:rPr>
          <w:rFonts w:hint="eastAsia" w:ascii="楷体_GB2312" w:hAnsi="楷体_GB2312" w:eastAsia="楷体_GB2312" w:cs="楷体_GB2312"/>
          <w:color w:val="auto"/>
          <w:sz w:val="32"/>
          <w:szCs w:val="32"/>
          <w:u w:val="single"/>
          <w:lang w:eastAsia="zh-CN"/>
        </w:rPr>
        <w:t>投标资料</w:t>
      </w:r>
      <w:r>
        <w:rPr>
          <w:rFonts w:hint="eastAsia" w:ascii="楷体_GB2312" w:hAnsi="楷体_GB2312" w:eastAsia="楷体_GB2312" w:cs="楷体_GB2312"/>
          <w:color w:val="auto"/>
          <w:sz w:val="32"/>
          <w:szCs w:val="32"/>
          <w:u w:val="single"/>
        </w:rPr>
        <w:t>递交地点：</w:t>
      </w:r>
      <w:r>
        <w:rPr>
          <w:rFonts w:hint="eastAsia" w:ascii="Times New Roman" w:hAnsi="Times New Roman" w:eastAsia="仿宋_GB2312" w:cs="Times New Roman"/>
          <w:color w:val="auto"/>
          <w:sz w:val="32"/>
          <w:szCs w:val="32"/>
          <w:u w:val="single"/>
          <w:lang w:val="en-US" w:eastAsia="zh-CN"/>
        </w:rPr>
        <w:t>以邮递方式送至</w:t>
      </w:r>
      <w:r>
        <w:rPr>
          <w:rStyle w:val="15"/>
          <w:rFonts w:hint="default" w:ascii="Times New Roman" w:hAnsi="Times New Roman" w:eastAsia="仿宋" w:cs="Times New Roman"/>
          <w:b w:val="0"/>
          <w:color w:val="auto"/>
          <w:sz w:val="32"/>
          <w:szCs w:val="32"/>
          <w:u w:val="single"/>
        </w:rPr>
        <w:t>海珠区</w:t>
      </w:r>
      <w:r>
        <w:rPr>
          <w:rStyle w:val="15"/>
          <w:rFonts w:hint="default" w:ascii="Times New Roman" w:hAnsi="Times New Roman" w:eastAsia="仿宋" w:cs="Times New Roman"/>
          <w:b w:val="0"/>
          <w:color w:val="auto"/>
          <w:sz w:val="32"/>
          <w:szCs w:val="32"/>
          <w:u w:val="single"/>
          <w:lang w:eastAsia="zh-CN"/>
        </w:rPr>
        <w:t>新港中路</w:t>
      </w:r>
      <w:r>
        <w:rPr>
          <w:rStyle w:val="15"/>
          <w:rFonts w:hint="default" w:ascii="Times New Roman" w:hAnsi="Times New Roman" w:eastAsia="仿宋" w:cs="Times New Roman"/>
          <w:b w:val="0"/>
          <w:color w:val="auto"/>
          <w:sz w:val="32"/>
          <w:szCs w:val="32"/>
          <w:u w:val="single"/>
          <w:lang w:val="en-US" w:eastAsia="zh-CN"/>
        </w:rPr>
        <w:t>489号佳信花园C3、C4栋</w:t>
      </w:r>
      <w:r>
        <w:rPr>
          <w:rStyle w:val="15"/>
          <w:rFonts w:hint="eastAsia" w:ascii="Times New Roman" w:hAnsi="Times New Roman" w:eastAsia="仿宋" w:cs="Times New Roman"/>
          <w:b w:val="0"/>
          <w:color w:val="auto"/>
          <w:sz w:val="32"/>
          <w:szCs w:val="32"/>
          <w:u w:val="single"/>
          <w:lang w:val="en-US" w:eastAsia="zh-CN"/>
        </w:rPr>
        <w:t>1楼</w:t>
      </w:r>
      <w:r>
        <w:rPr>
          <w:rStyle w:val="15"/>
          <w:rFonts w:hint="default" w:ascii="Times New Roman" w:hAnsi="Times New Roman" w:eastAsia="仿宋" w:cs="Times New Roman"/>
          <w:b w:val="0"/>
          <w:color w:val="auto"/>
          <w:sz w:val="32"/>
          <w:szCs w:val="32"/>
          <w:u w:val="single"/>
          <w:lang w:val="en-US" w:eastAsia="zh-CN"/>
        </w:rPr>
        <w:t>（广州市海珠区民政局</w:t>
      </w:r>
      <w:r>
        <w:rPr>
          <w:rStyle w:val="15"/>
          <w:rFonts w:hint="eastAsia" w:ascii="Times New Roman" w:hAnsi="Times New Roman" w:eastAsia="仿宋" w:cs="Times New Roman"/>
          <w:b w:val="0"/>
          <w:color w:val="auto"/>
          <w:sz w:val="32"/>
          <w:szCs w:val="32"/>
          <w:u w:val="single"/>
          <w:lang w:val="en-US" w:eastAsia="zh-CN"/>
        </w:rPr>
        <w:t>养老服务科</w:t>
      </w:r>
      <w:r>
        <w:rPr>
          <w:rStyle w:val="15"/>
          <w:rFonts w:hint="default" w:ascii="Times New Roman" w:hAnsi="Times New Roman" w:eastAsia="仿宋" w:cs="Times New Roman"/>
          <w:b w:val="0"/>
          <w:color w:val="auto"/>
          <w:sz w:val="32"/>
          <w:szCs w:val="32"/>
          <w:u w:val="single"/>
          <w:lang w:val="en-US" w:eastAsia="zh-CN"/>
        </w:rPr>
        <w:t>）</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、项目报名条件、项目提供资料</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（一）项目报名条件</w:t>
      </w:r>
    </w:p>
    <w:p>
      <w:pPr>
        <w:pStyle w:val="7"/>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color="000000"/>
          <w:lang w:val="en-US" w:eastAsia="zh-CN" w:bidi="ar-SA"/>
        </w:rPr>
      </w:pPr>
      <w:r>
        <w:rPr>
          <w:rFonts w:hint="eastAsia" w:ascii="仿宋_GB2312" w:hAnsi="仿宋_GB2312" w:eastAsia="仿宋_GB2312" w:cs="仿宋_GB2312"/>
          <w:color w:val="auto"/>
          <w:kern w:val="2"/>
          <w:sz w:val="32"/>
          <w:szCs w:val="32"/>
          <w:u w:val="none" w:color="000000"/>
          <w:lang w:val="en-US" w:eastAsia="zh-CN" w:bidi="ar-SA"/>
        </w:rPr>
        <w:t>1.</w:t>
      </w:r>
      <w:r>
        <w:rPr>
          <w:rFonts w:hint="eastAsia" w:ascii="仿宋_GB2312" w:hAnsi="仿宋_GB2312" w:eastAsia="仿宋_GB2312" w:cs="仿宋_GB2312"/>
          <w:color w:val="auto"/>
          <w:kern w:val="2"/>
          <w:sz w:val="32"/>
          <w:szCs w:val="32"/>
          <w:u w:val="none" w:color="auto"/>
          <w:lang w:val="en-US" w:eastAsia="zh-CN" w:bidi="ar-SA"/>
        </w:rPr>
        <w:t>依照相关消防应急管理法规</w:t>
      </w:r>
      <w:r>
        <w:rPr>
          <w:rFonts w:hint="eastAsia" w:ascii="仿宋_GB2312" w:hAnsi="仿宋_GB2312" w:eastAsia="仿宋_GB2312" w:cs="仿宋_GB2312"/>
          <w:color w:val="auto"/>
          <w:kern w:val="2"/>
          <w:sz w:val="32"/>
          <w:szCs w:val="32"/>
          <w:u w:val="none" w:color="000000"/>
          <w:lang w:val="en-US" w:eastAsia="zh-CN" w:bidi="ar-SA"/>
        </w:rPr>
        <w:t>注册登记的消防安全技术服务公司，具有独立承担民事责任能力，有规范的管理结构、清晰的财务制度、健全的规章制度。</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u w:val="none" w:color="000000"/>
          <w:lang w:val="en-US" w:eastAsia="zh-CN" w:bidi="ar-SA"/>
        </w:rPr>
      </w:pPr>
      <w:r>
        <w:rPr>
          <w:rFonts w:hint="eastAsia" w:ascii="仿宋_GB2312" w:hAnsi="仿宋_GB2312" w:eastAsia="仿宋_GB2312" w:cs="仿宋_GB2312"/>
          <w:color w:val="auto"/>
          <w:kern w:val="2"/>
          <w:sz w:val="32"/>
          <w:szCs w:val="32"/>
          <w:u w:val="none" w:color="000000"/>
          <w:lang w:val="en-US" w:eastAsia="zh-CN" w:bidi="ar-SA"/>
        </w:rPr>
        <w:t>2.能够熟练掌握和灵活运用消防法规及知识、管理方法与技能，认真积极管理该项目，服务期间确保工作人员稳定。</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u w:val="none" w:color="000000"/>
          <w:lang w:val="en-US" w:eastAsia="zh-CN" w:bidi="ar-SA"/>
        </w:rPr>
      </w:pPr>
      <w:r>
        <w:rPr>
          <w:rFonts w:hint="eastAsia" w:ascii="仿宋_GB2312" w:hAnsi="仿宋_GB2312" w:eastAsia="仿宋_GB2312" w:cs="仿宋_GB2312"/>
          <w:color w:val="auto"/>
          <w:kern w:val="2"/>
          <w:sz w:val="32"/>
          <w:szCs w:val="32"/>
          <w:u w:val="none" w:color="000000"/>
          <w:lang w:val="en-US" w:eastAsia="zh-CN" w:bidi="ar-SA"/>
        </w:rPr>
        <w:t>3.比选企业近三年内没有因违法、违规行为被国家有关部门予以处罚的记录。</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u w:val="none" w:color="000000"/>
          <w:lang w:val="en-US" w:eastAsia="zh-CN" w:bidi="ar-SA"/>
        </w:rPr>
      </w:pPr>
      <w:r>
        <w:rPr>
          <w:rFonts w:hint="eastAsia" w:ascii="仿宋_GB2312" w:hAnsi="仿宋_GB2312" w:eastAsia="仿宋_GB2312" w:cs="仿宋_GB2312"/>
          <w:color w:val="auto"/>
          <w:kern w:val="2"/>
          <w:sz w:val="32"/>
          <w:szCs w:val="32"/>
          <w:u w:val="none" w:color="000000"/>
          <w:lang w:val="en-US" w:eastAsia="zh-CN" w:bidi="ar-SA"/>
        </w:rPr>
        <w:t>4.承接方应按照项目需求，配齐配强所需人员。如有人员变动，需提前一个月向购买方报备，按照购买方要求，一星期内补充人员，同时，做好工作交接。若配备人员不能胜任相关工作，购买方有权向承接方提出换人需求，承接方应在2个月内更换符合要求的工作人员。补充或更换人员期间，应保障项目需求有序稳定开展。</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（二）项目提供资料</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法人登记证书副本复印件（加盖公章）。</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情况说明材料（包括但不限于</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概况、工作团队、主要工作业绩、承接项目优势等情况资料）。</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针对项目需求书提出的工作方案和措施。</w:t>
      </w:r>
    </w:p>
    <w:p>
      <w:pPr>
        <w:pStyle w:val="7"/>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4</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资料文件统一装入文件袋中密封，</w:t>
      </w:r>
      <w:r>
        <w:rPr>
          <w:rFonts w:hint="eastAsia" w:ascii="仿宋_GB2312" w:hAnsi="仿宋_GB2312" w:eastAsia="仿宋_GB2312" w:cs="仿宋_GB2312"/>
          <w:color w:val="auto"/>
          <w:kern w:val="2"/>
          <w:sz w:val="32"/>
          <w:szCs w:val="32"/>
          <w:u w:val="single"/>
        </w:rPr>
        <w:t>信封封面及文字打印方式注明比选申请人信息及项目信息（包括</w:t>
      </w:r>
      <w:r>
        <w:rPr>
          <w:rFonts w:hint="eastAsia" w:ascii="仿宋_GB2312" w:hAnsi="仿宋_GB2312" w:eastAsia="仿宋_GB2312" w:cs="仿宋_GB2312"/>
          <w:color w:val="auto"/>
          <w:sz w:val="32"/>
          <w:szCs w:val="32"/>
          <w:u w:val="single"/>
          <w:lang w:eastAsia="zh-CN"/>
        </w:rPr>
        <w:t>企业</w:t>
      </w:r>
      <w:r>
        <w:rPr>
          <w:rFonts w:hint="eastAsia" w:ascii="仿宋_GB2312" w:hAnsi="仿宋_GB2312" w:eastAsia="仿宋_GB2312" w:cs="仿宋_GB2312"/>
          <w:color w:val="auto"/>
          <w:sz w:val="32"/>
          <w:szCs w:val="32"/>
          <w:u w:val="single"/>
        </w:rPr>
        <w:t>名称和项目名称</w:t>
      </w:r>
      <w:r>
        <w:rPr>
          <w:rFonts w:hint="eastAsia" w:ascii="仿宋_GB2312" w:hAnsi="仿宋_GB2312" w:eastAsia="仿宋_GB2312" w:cs="仿宋_GB2312"/>
          <w:color w:val="auto"/>
          <w:kern w:val="2"/>
          <w:sz w:val="32"/>
          <w:szCs w:val="32"/>
          <w:u w:val="single"/>
        </w:rPr>
        <w:t>），所有密封处、纸张黏贴处（如有）应加盖公章，</w:t>
      </w:r>
      <w:r>
        <w:rPr>
          <w:rFonts w:hint="eastAsia" w:ascii="仿宋_GB2312" w:hAnsi="仿宋_GB2312" w:eastAsia="仿宋_GB2312" w:cs="仿宋_GB2312"/>
          <w:color w:val="auto"/>
          <w:sz w:val="32"/>
          <w:szCs w:val="32"/>
          <w:u w:val="single"/>
        </w:rPr>
        <w:t>否则视为无效将被拒收。</w:t>
      </w:r>
      <w:r>
        <w:rPr>
          <w:rFonts w:hint="eastAsia" w:ascii="仿宋_GB2312" w:hAnsi="仿宋_GB2312" w:eastAsia="仿宋_GB2312" w:cs="仿宋_GB2312"/>
          <w:color w:val="auto"/>
          <w:kern w:val="2"/>
          <w:sz w:val="32"/>
          <w:szCs w:val="32"/>
          <w:u w:val="single"/>
        </w:rPr>
        <w:t>不符合比选资格要求及投标方式要求的，以无效投标处理。</w:t>
      </w:r>
      <w:r>
        <w:rPr>
          <w:rFonts w:hint="eastAsia" w:ascii="仿宋_GB2312" w:hAnsi="仿宋_GB2312" w:eastAsia="仿宋_GB2312" w:cs="仿宋_GB2312"/>
          <w:b w:val="0"/>
          <w:bCs w:val="0"/>
          <w:color w:val="auto"/>
          <w:kern w:val="2"/>
          <w:sz w:val="32"/>
          <w:szCs w:val="32"/>
          <w:u w:val="single"/>
          <w:lang w:val="en-US" w:eastAsia="zh-CN" w:bidi="ar-SA"/>
        </w:rPr>
        <w:t>本项目不接受联合体投标。中选机构中标后，不得以任何理由将本项目转给其他机构承接。</w:t>
      </w:r>
    </w:p>
    <w:p>
      <w:pPr>
        <w:keepNext w:val="0"/>
        <w:keepLines w:val="0"/>
        <w:pageBreakBefore w:val="0"/>
        <w:widowControl w:val="0"/>
        <w:kinsoku/>
        <w:wordWrap/>
        <w:overflowPunct/>
        <w:topLinePunct w:val="0"/>
        <w:autoSpaceDE w:val="0"/>
        <w:bidi w:val="0"/>
        <w:adjustRightInd/>
        <w:snapToGrid/>
        <w:spacing w:line="560" w:lineRule="exact"/>
        <w:ind w:firstLine="640" w:firstLineChars="200"/>
        <w:textAlignment w:val="auto"/>
        <w:rPr>
          <w:rFonts w:ascii="Times New Roman" w:hAnsi="Times New Roman" w:eastAsia="仿宋_GB2312"/>
          <w:color w:val="auto"/>
          <w:sz w:val="32"/>
          <w:szCs w:val="32"/>
          <w:u w:val="single"/>
        </w:rPr>
      </w:pPr>
      <w:r>
        <w:rPr>
          <w:rFonts w:hint="eastAsia" w:ascii="仿宋_GB2312" w:hAnsi="仿宋_GB2312" w:eastAsia="仿宋_GB2312" w:cs="仿宋_GB2312"/>
          <w:color w:val="auto"/>
          <w:sz w:val="32"/>
          <w:szCs w:val="32"/>
          <w:u w:val="single"/>
        </w:rPr>
        <w:t>5</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报名资料必须加盖公章(A4装订成册)密封送达，且应与实际相符，如有缺漏或虚假的，视为无效报名。</w:t>
      </w:r>
    </w:p>
    <w:p>
      <w:pPr>
        <w:pStyle w:val="7"/>
        <w:keepNext w:val="0"/>
        <w:keepLines w:val="0"/>
        <w:pageBreakBefore w:val="0"/>
        <w:widowControl w:val="0"/>
        <w:kinsoku/>
        <w:wordWrap/>
        <w:overflowPunct/>
        <w:topLinePunct w:val="0"/>
        <w:bidi w:val="0"/>
        <w:adjustRightInd/>
        <w:snapToGrid/>
        <w:spacing w:line="560" w:lineRule="exact"/>
        <w:jc w:val="right"/>
        <w:textAlignment w:val="auto"/>
        <w:rPr>
          <w:rFonts w:hint="default"/>
          <w:color w:val="auto"/>
          <w:lang w:val="en-US" w:eastAsia="zh-CN"/>
        </w:rPr>
      </w:pPr>
    </w:p>
    <w:sectPr>
      <w:headerReference r:id="rId3" w:type="default"/>
      <w:footerReference r:id="rId4" w:type="default"/>
      <w:pgSz w:w="11900" w:h="16840"/>
      <w:pgMar w:top="2098" w:right="1474" w:bottom="1984" w:left="1587" w:header="851" w:footer="992"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E4BB6D-F07D-470B-81C4-3F43FFFD27B8}"/>
  </w:font>
  <w:font w:name="黑体">
    <w:panose1 w:val="02010609060101010101"/>
    <w:charset w:val="86"/>
    <w:family w:val="auto"/>
    <w:pitch w:val="default"/>
    <w:sig w:usb0="800002BF" w:usb1="38CF7CFA" w:usb2="00000016" w:usb3="00000000" w:csb0="00040001" w:csb1="00000000"/>
    <w:embedRegular r:id="rId2" w:fontKey="{EBED87D7-E62E-4229-A112-21C34711FA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邁..">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embedRegular r:id="rId3" w:fontKey="{DA40CE01-E73D-49BD-9BC9-B1AAA0013714}"/>
  </w:font>
  <w:font w:name="微软雅黑">
    <w:panose1 w:val="020B0503020204020204"/>
    <w:charset w:val="86"/>
    <w:family w:val="auto"/>
    <w:pitch w:val="default"/>
    <w:sig w:usb0="80000287" w:usb1="2ACF3C50" w:usb2="00000016" w:usb3="00000000" w:csb0="0004001F" w:csb1="00000000"/>
    <w:embedRegular r:id="rId4" w:fontKey="{89A0FE7E-21F7-4E7E-B0E3-B86477FED376}"/>
  </w:font>
  <w:font w:name="仿宋_GB2312">
    <w:panose1 w:val="02010609030101010101"/>
    <w:charset w:val="86"/>
    <w:family w:val="auto"/>
    <w:pitch w:val="default"/>
    <w:sig w:usb0="00000001" w:usb1="080E0000" w:usb2="00000000" w:usb3="00000000" w:csb0="00040000" w:csb1="00000000"/>
    <w:embedRegular r:id="rId5" w:fontKey="{9F800CEC-56B8-462E-9542-8FCCF67D0ED1}"/>
  </w:font>
  <w:font w:name="楷体_GB2312">
    <w:panose1 w:val="02010609030101010101"/>
    <w:charset w:val="86"/>
    <w:family w:val="auto"/>
    <w:pitch w:val="default"/>
    <w:sig w:usb0="00000001" w:usb1="080E0000" w:usb2="00000000" w:usb3="00000000" w:csb0="00040000" w:csb1="00000000"/>
    <w:embedRegular r:id="rId6" w:fontKey="{6C3799A4-2958-4B9D-A90A-6A72880129A6}"/>
  </w:font>
  <w:font w:name="仿宋">
    <w:panose1 w:val="02010609060101010101"/>
    <w:charset w:val="86"/>
    <w:family w:val="auto"/>
    <w:pitch w:val="default"/>
    <w:sig w:usb0="800002BF" w:usb1="38CF7CFA" w:usb2="00000016" w:usb3="00000000" w:csb0="00040001" w:csb1="00000000"/>
    <w:embedRegular r:id="rId7" w:fontKey="{EC04B1C1-9A43-439C-8366-BF07C0B267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fldChar w:fldCharType="begin"/>
                          </w:r>
                          <w:r>
                            <w:rPr>
                              <w:rFonts w:hint="default" w:ascii="Times New Roman" w:hAnsi="Times New Roman" w:eastAsia="宋体" w:cs="Times New Roman"/>
                              <w:sz w:val="32"/>
                              <w:szCs w:val="32"/>
                              <w:lang w:eastAsia="zh-CN"/>
                            </w:rPr>
                            <w:instrText xml:space="preserve"> PAGE  \* MERGEFORMAT </w:instrText>
                          </w:r>
                          <w:r>
                            <w:rPr>
                              <w:rFonts w:hint="default" w:ascii="Times New Roman" w:hAnsi="Times New Roman" w:eastAsia="宋体" w:cs="Times New Roman"/>
                              <w:sz w:val="32"/>
                              <w:szCs w:val="32"/>
                              <w:lang w:eastAsia="zh-CN"/>
                            </w:rPr>
                            <w:fldChar w:fldCharType="separate"/>
                          </w:r>
                          <w:r>
                            <w:rPr>
                              <w:rFonts w:hint="default" w:ascii="Times New Roman" w:hAnsi="Times New Roman" w:eastAsia="宋体" w:cs="Times New Roman"/>
                              <w:sz w:val="32"/>
                              <w:szCs w:val="32"/>
                              <w:lang w:eastAsia="zh-CN"/>
                            </w:rPr>
                            <w:t>1</w:t>
                          </w:r>
                          <w:r>
                            <w:rPr>
                              <w:rFonts w:hint="default" w:ascii="Times New Roman" w:hAnsi="Times New Roman" w:eastAsia="宋体" w:cs="Times New Roman"/>
                              <w:sz w:val="32"/>
                              <w:szCs w:val="32"/>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fldChar w:fldCharType="begin"/>
                    </w:r>
                    <w:r>
                      <w:rPr>
                        <w:rFonts w:hint="default" w:ascii="Times New Roman" w:hAnsi="Times New Roman" w:eastAsia="宋体" w:cs="Times New Roman"/>
                        <w:sz w:val="32"/>
                        <w:szCs w:val="32"/>
                        <w:lang w:eastAsia="zh-CN"/>
                      </w:rPr>
                      <w:instrText xml:space="preserve"> PAGE  \* MERGEFORMAT </w:instrText>
                    </w:r>
                    <w:r>
                      <w:rPr>
                        <w:rFonts w:hint="default" w:ascii="Times New Roman" w:hAnsi="Times New Roman" w:eastAsia="宋体" w:cs="Times New Roman"/>
                        <w:sz w:val="32"/>
                        <w:szCs w:val="32"/>
                        <w:lang w:eastAsia="zh-CN"/>
                      </w:rPr>
                      <w:fldChar w:fldCharType="separate"/>
                    </w:r>
                    <w:r>
                      <w:rPr>
                        <w:rFonts w:hint="default" w:ascii="Times New Roman" w:hAnsi="Times New Roman" w:eastAsia="宋体" w:cs="Times New Roman"/>
                        <w:sz w:val="32"/>
                        <w:szCs w:val="32"/>
                        <w:lang w:eastAsia="zh-CN"/>
                      </w:rPr>
                      <w:t>1</w:t>
                    </w:r>
                    <w:r>
                      <w:rPr>
                        <w:rFonts w:hint="default" w:ascii="Times New Roman" w:hAnsi="Times New Roman" w:eastAsia="宋体" w:cs="Times New Roman"/>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89273"/>
    <w:multiLevelType w:val="singleLevel"/>
    <w:tmpl w:val="3A3892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YTM4YTkyZDcxNzhhYzBjM2ViYzhjYTk5NjIwM2UifQ=="/>
  </w:docVars>
  <w:rsids>
    <w:rsidRoot w:val="00172A27"/>
    <w:rsid w:val="0001420E"/>
    <w:rsid w:val="000A41B9"/>
    <w:rsid w:val="002318C9"/>
    <w:rsid w:val="003358A1"/>
    <w:rsid w:val="02856973"/>
    <w:rsid w:val="02DB1690"/>
    <w:rsid w:val="05020A28"/>
    <w:rsid w:val="058426F0"/>
    <w:rsid w:val="058C1C12"/>
    <w:rsid w:val="06B555C2"/>
    <w:rsid w:val="06CA570D"/>
    <w:rsid w:val="07006849"/>
    <w:rsid w:val="07A023A3"/>
    <w:rsid w:val="07C34696"/>
    <w:rsid w:val="07C6460F"/>
    <w:rsid w:val="09077826"/>
    <w:rsid w:val="09D61B19"/>
    <w:rsid w:val="0AE62DDC"/>
    <w:rsid w:val="0C87743D"/>
    <w:rsid w:val="0D3E7A31"/>
    <w:rsid w:val="0E841061"/>
    <w:rsid w:val="0E9205C0"/>
    <w:rsid w:val="0F4F7261"/>
    <w:rsid w:val="0FAA517F"/>
    <w:rsid w:val="1050729C"/>
    <w:rsid w:val="118062ED"/>
    <w:rsid w:val="11EE2188"/>
    <w:rsid w:val="12D64267"/>
    <w:rsid w:val="14325D5D"/>
    <w:rsid w:val="149A3EC7"/>
    <w:rsid w:val="14AF3717"/>
    <w:rsid w:val="154F3BB9"/>
    <w:rsid w:val="1598426C"/>
    <w:rsid w:val="15C06A64"/>
    <w:rsid w:val="16EA1A18"/>
    <w:rsid w:val="17755C26"/>
    <w:rsid w:val="177E30F0"/>
    <w:rsid w:val="17CD561E"/>
    <w:rsid w:val="180F25E3"/>
    <w:rsid w:val="18532EBF"/>
    <w:rsid w:val="187F6A7D"/>
    <w:rsid w:val="1A6E2160"/>
    <w:rsid w:val="1AB53F12"/>
    <w:rsid w:val="1B9C7E72"/>
    <w:rsid w:val="1C556DAA"/>
    <w:rsid w:val="1E8D1380"/>
    <w:rsid w:val="1EA02CCB"/>
    <w:rsid w:val="1F2C201B"/>
    <w:rsid w:val="1F541FF4"/>
    <w:rsid w:val="1F901AB8"/>
    <w:rsid w:val="1FD4356D"/>
    <w:rsid w:val="202D2E5B"/>
    <w:rsid w:val="206C203B"/>
    <w:rsid w:val="20FC7553"/>
    <w:rsid w:val="21270FC6"/>
    <w:rsid w:val="213F2E12"/>
    <w:rsid w:val="21EF44CC"/>
    <w:rsid w:val="253E3357"/>
    <w:rsid w:val="260A6859"/>
    <w:rsid w:val="26206764"/>
    <w:rsid w:val="265D777E"/>
    <w:rsid w:val="26D00038"/>
    <w:rsid w:val="27060D20"/>
    <w:rsid w:val="283E464B"/>
    <w:rsid w:val="2C8C12BA"/>
    <w:rsid w:val="2CF460A3"/>
    <w:rsid w:val="2D1F62C6"/>
    <w:rsid w:val="2DB52BFD"/>
    <w:rsid w:val="2E020574"/>
    <w:rsid w:val="30647B8C"/>
    <w:rsid w:val="30FA390A"/>
    <w:rsid w:val="31393F91"/>
    <w:rsid w:val="31C70835"/>
    <w:rsid w:val="34984755"/>
    <w:rsid w:val="34BD3A4D"/>
    <w:rsid w:val="34FD49B4"/>
    <w:rsid w:val="35017563"/>
    <w:rsid w:val="35D347C7"/>
    <w:rsid w:val="36592FC3"/>
    <w:rsid w:val="36CC76D6"/>
    <w:rsid w:val="36CD7314"/>
    <w:rsid w:val="37570C90"/>
    <w:rsid w:val="391F5845"/>
    <w:rsid w:val="39255EAD"/>
    <w:rsid w:val="3A390A01"/>
    <w:rsid w:val="3A7C0B81"/>
    <w:rsid w:val="3BA41B8D"/>
    <w:rsid w:val="3C2D02FC"/>
    <w:rsid w:val="3E5C0E3E"/>
    <w:rsid w:val="3E7754BD"/>
    <w:rsid w:val="3F0D4E6A"/>
    <w:rsid w:val="40152228"/>
    <w:rsid w:val="405854C0"/>
    <w:rsid w:val="40FB3BBD"/>
    <w:rsid w:val="42061694"/>
    <w:rsid w:val="42436835"/>
    <w:rsid w:val="43252048"/>
    <w:rsid w:val="44941CAB"/>
    <w:rsid w:val="44DA6F11"/>
    <w:rsid w:val="466E3065"/>
    <w:rsid w:val="476B6BD2"/>
    <w:rsid w:val="48CE0EE0"/>
    <w:rsid w:val="492B03C7"/>
    <w:rsid w:val="4A181B5D"/>
    <w:rsid w:val="4A804AD5"/>
    <w:rsid w:val="4BB44FE1"/>
    <w:rsid w:val="4C227327"/>
    <w:rsid w:val="4CA02E7A"/>
    <w:rsid w:val="4CA55E83"/>
    <w:rsid w:val="4CAD655A"/>
    <w:rsid w:val="4F4C6DEF"/>
    <w:rsid w:val="50CA2778"/>
    <w:rsid w:val="51290F72"/>
    <w:rsid w:val="51C904BB"/>
    <w:rsid w:val="51CF35AC"/>
    <w:rsid w:val="55FF50B5"/>
    <w:rsid w:val="57263FB2"/>
    <w:rsid w:val="57A474F3"/>
    <w:rsid w:val="57AF56A7"/>
    <w:rsid w:val="58054935"/>
    <w:rsid w:val="593B07AA"/>
    <w:rsid w:val="59A51429"/>
    <w:rsid w:val="59D26A98"/>
    <w:rsid w:val="59FD3E1F"/>
    <w:rsid w:val="5D4D3F3B"/>
    <w:rsid w:val="5E631533"/>
    <w:rsid w:val="5E687FE4"/>
    <w:rsid w:val="622F2FFE"/>
    <w:rsid w:val="62CE6FE3"/>
    <w:rsid w:val="63132D60"/>
    <w:rsid w:val="63184534"/>
    <w:rsid w:val="65C76FEB"/>
    <w:rsid w:val="65CD0F78"/>
    <w:rsid w:val="65F55B8D"/>
    <w:rsid w:val="667B5812"/>
    <w:rsid w:val="66925504"/>
    <w:rsid w:val="673F30FE"/>
    <w:rsid w:val="68103008"/>
    <w:rsid w:val="681D2C6E"/>
    <w:rsid w:val="68A967C1"/>
    <w:rsid w:val="68BF1E69"/>
    <w:rsid w:val="68E148B0"/>
    <w:rsid w:val="6A540854"/>
    <w:rsid w:val="6A8B2E89"/>
    <w:rsid w:val="6C185F9F"/>
    <w:rsid w:val="6C29671B"/>
    <w:rsid w:val="6C37655B"/>
    <w:rsid w:val="6CC34B0E"/>
    <w:rsid w:val="6D177E25"/>
    <w:rsid w:val="6D52679A"/>
    <w:rsid w:val="6D6F3987"/>
    <w:rsid w:val="6E5122D2"/>
    <w:rsid w:val="6E906AD2"/>
    <w:rsid w:val="6FAC7C04"/>
    <w:rsid w:val="71F00F11"/>
    <w:rsid w:val="72A5095D"/>
    <w:rsid w:val="73A110BB"/>
    <w:rsid w:val="75136842"/>
    <w:rsid w:val="75AB4A28"/>
    <w:rsid w:val="76F62E51"/>
    <w:rsid w:val="78E42A1B"/>
    <w:rsid w:val="79C47970"/>
    <w:rsid w:val="7A733904"/>
    <w:rsid w:val="7AAA15BB"/>
    <w:rsid w:val="7B46373B"/>
    <w:rsid w:val="7C4836DD"/>
    <w:rsid w:val="7C4C0D50"/>
    <w:rsid w:val="7C8E25CB"/>
    <w:rsid w:val="7CD927F6"/>
    <w:rsid w:val="7D1576B1"/>
    <w:rsid w:val="7D2B7463"/>
    <w:rsid w:val="7EF533D8"/>
    <w:rsid w:val="7FBC38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Default"/>
    <w:basedOn w:val="1"/>
    <w:qFormat/>
    <w:uiPriority w:val="0"/>
    <w:pPr>
      <w:autoSpaceDE w:val="0"/>
      <w:autoSpaceDN w:val="0"/>
      <w:adjustRightInd w:val="0"/>
      <w:jc w:val="left"/>
    </w:pPr>
    <w:rPr>
      <w:rFonts w:ascii="宋体邁.." w:cs="宋体"/>
      <w:color w:val="000000"/>
      <w:kern w:val="0"/>
      <w:sz w:val="24"/>
      <w:szCs w:val="24"/>
    </w:rPr>
  </w:style>
  <w:style w:type="paragraph" w:customStyle="1" w:styleId="8">
    <w:name w:val="页脚 New"/>
    <w:basedOn w:val="9"/>
    <w:qFormat/>
    <w:uiPriority w:val="0"/>
    <w:pPr>
      <w:tabs>
        <w:tab w:val="center" w:pos="4153"/>
        <w:tab w:val="right" w:pos="8306"/>
      </w:tabs>
      <w:snapToGrid w:val="0"/>
      <w:jc w:val="left"/>
    </w:pPr>
    <w:rPr>
      <w:sz w:val="18"/>
      <w:szCs w:val="18"/>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character" w:customStyle="1" w:styleId="11">
    <w:name w:val="页脚 Char"/>
    <w:basedOn w:val="5"/>
    <w:link w:val="2"/>
    <w:semiHidden/>
    <w:qFormat/>
    <w:uiPriority w:val="99"/>
    <w:rPr>
      <w:rFonts w:ascii="Calibri" w:hAnsi="Calibri" w:eastAsia="Calibri" w:cs="Calibri"/>
      <w:color w:val="000000"/>
      <w:kern w:val="2"/>
      <w:sz w:val="18"/>
      <w:szCs w:val="18"/>
      <w:u w:val="none" w:color="000000"/>
    </w:rPr>
  </w:style>
  <w:style w:type="character" w:customStyle="1" w:styleId="12">
    <w:name w:val="页眉 Char"/>
    <w:basedOn w:val="5"/>
    <w:link w:val="3"/>
    <w:semiHidden/>
    <w:qFormat/>
    <w:uiPriority w:val="99"/>
    <w:rPr>
      <w:rFonts w:ascii="Calibri" w:hAnsi="Calibri" w:eastAsia="Calibri" w:cs="Calibri"/>
      <w:color w:val="000000"/>
      <w:kern w:val="2"/>
      <w:sz w:val="18"/>
      <w:szCs w:val="18"/>
      <w:u w:val="none" w:color="000000"/>
    </w:rPr>
  </w:style>
  <w:style w:type="character" w:customStyle="1" w:styleId="13">
    <w:name w:val="15"/>
    <w:basedOn w:val="5"/>
    <w:qFormat/>
    <w:uiPriority w:val="0"/>
    <w:rPr>
      <w:rFonts w:hint="default" w:ascii="Times New Roman" w:hAnsi="Times New Roman" w:cs="Times New Roman"/>
      <w:b/>
      <w:bCs/>
      <w:smallCaps/>
      <w:color w:val="C0504D"/>
      <w:spacing w:val="5"/>
      <w:u w:val="single"/>
    </w:rPr>
  </w:style>
  <w:style w:type="character" w:customStyle="1" w:styleId="14">
    <w:name w:val="NormalCharacter"/>
    <w:qFormat/>
    <w:uiPriority w:val="0"/>
  </w:style>
  <w:style w:type="character" w:customStyle="1" w:styleId="15">
    <w:name w:val="Intense Reference"/>
    <w:basedOn w:val="5"/>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duote\Desktop\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3681</Words>
  <Characters>3768</Characters>
  <Lines>16</Lines>
  <Paragraphs>4</Paragraphs>
  <TotalTime>4</TotalTime>
  <ScaleCrop>false</ScaleCrop>
  <LinksUpToDate>false</LinksUpToDate>
  <CharactersWithSpaces>3771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2018-06-01T00:53:00Z</dcterms:created>
  <dc:creator>deadman</dc:creator>
  <cp:lastModifiedBy>yanghaihua</cp:lastModifiedBy>
  <cp:lastPrinted>2024-09-05T06:29:00Z</cp:lastPrinted>
  <dcterms:modified xsi:type="dcterms:W3CDTF">2024-09-27T06:32:32Z</dcterms:modified>
  <dc:title>deadman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9E90272000CC44CFAA7FA37AE30C179B</vt:lpwstr>
  </property>
</Properties>
</file>