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6C5B7">
      <w:pPr>
        <w:wordWrap w:val="0"/>
        <w:spacing w:line="500" w:lineRule="exact"/>
        <w:ind w:firstLine="640" w:firstLineChars="200"/>
        <w:jc w:val="right"/>
        <w:rPr>
          <w:rFonts w:eastAsia="仿宋_GB2312"/>
          <w:sz w:val="32"/>
          <w:szCs w:val="32"/>
        </w:rPr>
      </w:pPr>
      <w:bookmarkStart w:id="0" w:name="_GoBack"/>
    </w:p>
    <w:p w14:paraId="3499EF32">
      <w:pPr>
        <w:wordWrap w:val="0"/>
        <w:spacing w:line="50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 w14:paraId="3CFEFE6C">
      <w:pPr>
        <w:wordWrap w:val="0"/>
        <w:spacing w:line="50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 w14:paraId="2C46CA0B">
      <w:pPr>
        <w:wordWrap w:val="0"/>
        <w:spacing w:line="50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 w14:paraId="65DF25ED">
      <w:pPr>
        <w:wordWrap w:val="0"/>
        <w:spacing w:line="50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穗环（海）法罚〔202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号</w:t>
      </w:r>
    </w:p>
    <w:p w14:paraId="0259CF67">
      <w:pPr>
        <w:pStyle w:val="2"/>
        <w:spacing w:line="500" w:lineRule="exact"/>
        <w:ind w:firstLine="480" w:firstLineChars="200"/>
        <w:rPr>
          <w:rFonts w:ascii="Times New Roman" w:hAnsi="Times New Roman"/>
        </w:rPr>
      </w:pPr>
    </w:p>
    <w:p w14:paraId="6F9E40FC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行政处罚决定书</w:t>
      </w:r>
    </w:p>
    <w:p w14:paraId="0727575B">
      <w:pPr>
        <w:pStyle w:val="3"/>
        <w:widowControl/>
        <w:shd w:val="clear" w:color="auto" w:fill="FFFFFF"/>
        <w:adjustRightInd w:val="0"/>
        <w:spacing w:before="0" w:beforeAutospacing="0" w:after="0" w:afterAutospacing="0" w:line="500" w:lineRule="exact"/>
        <w:rPr>
          <w:rFonts w:hint="default" w:ascii="Times New Roman" w:hAnsi="Times New Roman" w:eastAsia="仿宋_GB2312"/>
          <w:b w:val="0"/>
          <w:bCs w:val="0"/>
          <w:kern w:val="2"/>
          <w:sz w:val="32"/>
          <w:szCs w:val="24"/>
        </w:rPr>
      </w:pPr>
    </w:p>
    <w:p w14:paraId="786E00A7">
      <w:pPr>
        <w:pStyle w:val="3"/>
        <w:widowControl/>
        <w:shd w:val="clear" w:color="auto" w:fill="FFFFFF"/>
        <w:adjustRightInd w:val="0"/>
        <w:spacing w:before="0" w:beforeAutospacing="0" w:after="0" w:afterAutospacing="0" w:line="560" w:lineRule="exact"/>
        <w:rPr>
          <w:rFonts w:hint="default" w:ascii="Times New Roman" w:hAnsi="Times New Roman" w:eastAsia="仿宋_GB2312"/>
          <w:b w:val="0"/>
          <w:bCs w:val="0"/>
          <w:kern w:val="2"/>
          <w:sz w:val="32"/>
          <w:szCs w:val="24"/>
        </w:rPr>
      </w:pPr>
      <w:r>
        <w:rPr>
          <w:rFonts w:hint="default" w:ascii="Times New Roman" w:hAnsi="Times New Roman" w:eastAsia="仿宋_GB2312"/>
          <w:b w:val="0"/>
          <w:bCs w:val="0"/>
          <w:kern w:val="2"/>
          <w:sz w:val="32"/>
          <w:szCs w:val="24"/>
        </w:rPr>
        <w:t>当事人：广州赤冈中医医院有限公司</w:t>
      </w:r>
    </w:p>
    <w:p w14:paraId="0CDADFE4">
      <w:pPr>
        <w:pStyle w:val="4"/>
        <w:tabs>
          <w:tab w:val="left" w:pos="7382"/>
          <w:tab w:val="left" w:pos="7982"/>
        </w:tabs>
        <w:adjustRightInd w:val="0"/>
        <w:spacing w:line="560" w:lineRule="exact"/>
        <w:rPr>
          <w:rFonts w:eastAsia="仿宋_GB2312" w:cs="宋体"/>
          <w:sz w:val="32"/>
          <w:szCs w:val="24"/>
          <w:lang w:bidi="ar"/>
        </w:rPr>
      </w:pPr>
      <w:r>
        <w:rPr>
          <w:rFonts w:eastAsia="仿宋_GB2312"/>
          <w:sz w:val="32"/>
          <w:szCs w:val="24"/>
        </w:rPr>
        <w:t>统一社会信用</w:t>
      </w:r>
      <w:r>
        <w:rPr>
          <w:rFonts w:hint="eastAsia" w:eastAsia="仿宋_GB2312" w:cs="宋体"/>
          <w:sz w:val="32"/>
          <w:szCs w:val="24"/>
          <w:lang w:bidi="ar"/>
        </w:rPr>
        <w:t>代码：</w:t>
      </w:r>
      <w:r>
        <w:rPr>
          <w:rFonts w:eastAsia="仿宋_GB2312"/>
          <w:sz w:val="32"/>
          <w:szCs w:val="24"/>
        </w:rPr>
        <w:t>91440101MA9XPPQJ97</w:t>
      </w:r>
    </w:p>
    <w:p w14:paraId="671BFDD2">
      <w:pPr>
        <w:pStyle w:val="4"/>
        <w:tabs>
          <w:tab w:val="left" w:pos="7382"/>
          <w:tab w:val="left" w:pos="7982"/>
        </w:tabs>
        <w:adjustRightInd w:val="0"/>
        <w:spacing w:line="560" w:lineRule="exact"/>
        <w:rPr>
          <w:rFonts w:eastAsia="仿宋_GB2312" w:cs="宋体"/>
          <w:sz w:val="32"/>
          <w:szCs w:val="24"/>
          <w:lang w:bidi="ar"/>
        </w:rPr>
      </w:pPr>
      <w:r>
        <w:rPr>
          <w:rFonts w:hint="eastAsia" w:eastAsia="仿宋_GB2312" w:cs="宋体"/>
          <w:sz w:val="32"/>
          <w:szCs w:val="24"/>
          <w:lang w:bidi="ar"/>
        </w:rPr>
        <w:t>登记地址：</w:t>
      </w:r>
      <w:r>
        <w:rPr>
          <w:rFonts w:eastAsia="仿宋_GB2312"/>
          <w:sz w:val="32"/>
          <w:szCs w:val="24"/>
        </w:rPr>
        <w:t>广州市海珠区赤岗西路35、37号自编21号</w:t>
      </w:r>
    </w:p>
    <w:p w14:paraId="7925F50E">
      <w:pPr>
        <w:widowControl/>
        <w:adjustRightInd w:val="0"/>
        <w:spacing w:line="560" w:lineRule="exact"/>
        <w:jc w:val="left"/>
        <w:rPr>
          <w:rFonts w:eastAsia="仿宋_GB2312" w:cs="宋体"/>
          <w:sz w:val="32"/>
          <w:szCs w:val="24"/>
          <w:lang w:bidi="ar"/>
        </w:rPr>
      </w:pPr>
      <w:r>
        <w:rPr>
          <w:rFonts w:hint="eastAsia" w:eastAsia="仿宋_GB2312" w:cs="宋体"/>
          <w:sz w:val="32"/>
          <w:szCs w:val="24"/>
          <w:lang w:val="en-US" w:eastAsia="zh-CN" w:bidi="ar"/>
        </w:rPr>
        <w:t>法定代表</w:t>
      </w:r>
      <w:r>
        <w:rPr>
          <w:rFonts w:hint="eastAsia" w:eastAsia="仿宋_GB2312" w:cs="宋体"/>
          <w:sz w:val="32"/>
          <w:szCs w:val="24"/>
          <w:lang w:bidi="ar"/>
        </w:rPr>
        <w:t>人：</w:t>
      </w:r>
      <w:r>
        <w:rPr>
          <w:rFonts w:eastAsia="仿宋_GB2312"/>
          <w:sz w:val="32"/>
          <w:szCs w:val="24"/>
        </w:rPr>
        <w:t>余治国</w:t>
      </w:r>
    </w:p>
    <w:p w14:paraId="1723EC1F">
      <w:pPr>
        <w:pStyle w:val="2"/>
        <w:spacing w:line="500" w:lineRule="exact"/>
      </w:pPr>
    </w:p>
    <w:p w14:paraId="6B2CE911">
      <w:pPr>
        <w:pStyle w:val="4"/>
        <w:tabs>
          <w:tab w:val="left" w:pos="7382"/>
          <w:tab w:val="left" w:pos="7982"/>
        </w:tabs>
        <w:adjustRightInd w:val="0"/>
        <w:spacing w:line="560" w:lineRule="exact"/>
        <w:ind w:firstLine="640" w:firstLineChars="2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一、当事人基本情况及违法事实情况</w:t>
      </w:r>
    </w:p>
    <w:p w14:paraId="06C14E16">
      <w:pPr>
        <w:pStyle w:val="4"/>
        <w:tabs>
          <w:tab w:val="left" w:pos="7382"/>
          <w:tab w:val="left" w:pos="7982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24"/>
        </w:rPr>
      </w:pPr>
      <w:r>
        <w:rPr>
          <w:rFonts w:hint="eastAsia" w:eastAsia="仿宋_GB2312"/>
          <w:kern w:val="0"/>
          <w:sz w:val="32"/>
          <w:szCs w:val="24"/>
          <w:lang w:eastAsia="zh-CN"/>
        </w:rPr>
        <w:t>当事人</w:t>
      </w:r>
      <w:r>
        <w:rPr>
          <w:rFonts w:eastAsia="仿宋_GB2312"/>
          <w:kern w:val="0"/>
          <w:sz w:val="32"/>
          <w:szCs w:val="24"/>
        </w:rPr>
        <w:t>广州赤冈中医医院有限公司2024年1月16日领取《排污许可证》，许可证规定当事人DW001-综合废水排放口污染物pH值检测频率是1次/12小时，总余氯（以Cl计）的检测频率是2次/日，悬浮物、化学需氧量的检测频率是1次/周，粪大肠菌群（MPN/L）的检测频率是1次/月，五日生化需氧量、阴离子表面活性剂、石油类、动植物油、挥发酚、总氰化物的检测频率是1次/季；污水处理站周界废气检测要求是臭气浓度、氨（氨气）、甲烷、氯、硫化氢检测频率为1次/季。</w:t>
      </w:r>
    </w:p>
    <w:p w14:paraId="70DD1C71">
      <w:pPr>
        <w:pStyle w:val="4"/>
        <w:tabs>
          <w:tab w:val="left" w:pos="7382"/>
          <w:tab w:val="left" w:pos="7982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24"/>
        </w:rPr>
      </w:pPr>
      <w:r>
        <w:rPr>
          <w:rFonts w:eastAsia="仿宋_GB2312"/>
          <w:kern w:val="0"/>
          <w:sz w:val="32"/>
          <w:szCs w:val="24"/>
        </w:rPr>
        <w:t>2024年6月27日，我局执法人员对当事人进行现场检查时发现，当事人存在以下事实情形：领取《排污许可证》后的第一季度、第二季度内仅对pH值、余氯、粪大肠菌群开展了检测，其中粪大肠菌群为送样检测，其他指标均未开展检测。2024年7月9日，我局向当事人送达《责令改正违法行为决定书（给予执法观察期情形）》，责令当事人于2024年8月7日前完成整改，严格按照排污许可证规定和有关标准规范开展自行检测。2024年8月8日、13日，我局复查发现当事人未完成问题整改，pH、余氯等未达到检测频次要求，且医疗废水悬浮物、化学需氧量等仍采取送样检测的方式。</w:t>
      </w:r>
    </w:p>
    <w:p w14:paraId="2951CB04">
      <w:pPr>
        <w:pStyle w:val="4"/>
        <w:tabs>
          <w:tab w:val="left" w:pos="7382"/>
          <w:tab w:val="left" w:pos="7982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24"/>
        </w:rPr>
      </w:pPr>
      <w:r>
        <w:rPr>
          <w:rFonts w:eastAsia="仿宋_GB2312"/>
          <w:kern w:val="0"/>
          <w:sz w:val="32"/>
          <w:szCs w:val="24"/>
        </w:rPr>
        <w:t>以上事实，有《现场检查（勘察）笔录》《调查询问笔录》《责令改正违法行为决定书（给予执法观察期情形）》《检测报告》《废水污染物监测信息记录表》《排污许可证》、营业执照、现场照片等证据材料予以证实。</w:t>
      </w:r>
    </w:p>
    <w:p w14:paraId="6B517309">
      <w:pPr>
        <w:pStyle w:val="4"/>
        <w:tabs>
          <w:tab w:val="left" w:pos="7382"/>
          <w:tab w:val="left" w:pos="7982"/>
        </w:tabs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bCs/>
          <w:sz w:val="32"/>
          <w:szCs w:val="32"/>
        </w:rPr>
        <w:t>规范依据、拟处罚告知及意见采纳情况及处罚内容</w:t>
      </w:r>
    </w:p>
    <w:p w14:paraId="5733230A"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</w:rPr>
        <w:t>《排污许可管理条例》第十九条第一款规定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eastAsia="仿宋_GB2312"/>
          <w:sz w:val="32"/>
        </w:rPr>
        <w:t>“排污单位应当按照排污许可证规定和有关标准规范，依法开展自行监测，并保存原始监测记录。原始监测记录保存期限不得少于5年”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当事人上述行为违反了前述规定。</w:t>
      </w:r>
      <w:r>
        <w:rPr>
          <w:rFonts w:eastAsia="仿宋_GB2312"/>
          <w:sz w:val="32"/>
          <w:szCs w:val="32"/>
        </w:rPr>
        <w:t>我局于2024年8月30日向当事人送达《行政处罚事先告知书》（穗环（海）罚告〔2024〕11号），告知当事人拟作出的处罚内容及事实、理由、依据，并告知了当事人陈述、申辩的权利。</w:t>
      </w:r>
      <w:r>
        <w:rPr>
          <w:rFonts w:eastAsia="仿宋_GB2312"/>
          <w:kern w:val="0"/>
          <w:sz w:val="32"/>
          <w:szCs w:val="32"/>
        </w:rPr>
        <w:t>当事人于2024年9月3日</w:t>
      </w:r>
      <w:r>
        <w:rPr>
          <w:rFonts w:hint="eastAsia" w:eastAsia="仿宋_GB2312"/>
          <w:kern w:val="0"/>
          <w:sz w:val="32"/>
          <w:szCs w:val="32"/>
          <w:lang w:eastAsia="zh-CN"/>
        </w:rPr>
        <w:t>向我局</w:t>
      </w:r>
      <w:r>
        <w:rPr>
          <w:rFonts w:eastAsia="仿宋_GB2312"/>
          <w:kern w:val="0"/>
          <w:sz w:val="32"/>
          <w:szCs w:val="32"/>
        </w:rPr>
        <w:t>提交书面陈述申辩意见</w:t>
      </w:r>
      <w:r>
        <w:rPr>
          <w:rFonts w:hint="eastAsia" w:eastAsia="仿宋_GB2312"/>
          <w:kern w:val="0"/>
          <w:sz w:val="32"/>
          <w:szCs w:val="32"/>
          <w:lang w:eastAsia="zh-CN"/>
        </w:rPr>
        <w:t>，主要</w:t>
      </w:r>
      <w:r>
        <w:rPr>
          <w:rFonts w:eastAsia="仿宋_GB2312"/>
          <w:kern w:val="0"/>
          <w:sz w:val="32"/>
          <w:szCs w:val="32"/>
        </w:rPr>
        <w:t>陈述申辩意见如下：1、我公司虽为效益不佳的小医院，但积极投入污水设备，并按要求配备流量监测、污泥压滤机；我公司的违规行为并没有造成环境损害和健康风险，也没有带来严重后果，并且已经在认识错误后积极采取措施。2、企业正处于微利甚至亏损状态，望贵局给予理解和照顾。综上，恳请贵局念在我司是初犯，给予批评教育，希望贵局不再处以罚款。</w:t>
      </w:r>
    </w:p>
    <w:p w14:paraId="18C1555E">
      <w:pPr>
        <w:pStyle w:val="4"/>
        <w:tabs>
          <w:tab w:val="left" w:pos="7382"/>
          <w:tab w:val="left" w:pos="7982"/>
        </w:tabs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集体审议，我局不予采纳当事人的陈述、申辩意见，理由如下：1、当事人未按照《排污许可证》的规定和有关标准规范开展自行检测事实清楚、证据充分。我局发现当事人上述违法行为后，于2024年7月9日向当事人送达《责令改正违法行为决定书（给予执法观察期情形）》，责令当事人在2024年8月7日前完成整改，但当事人在责令改正期限内未完成整改。2、根据当事人的违法情节，我局在法定罚款幅度范围内已经予以考量，当事人的陈述申辩意见不属于法定免予处罚的理由。</w:t>
      </w:r>
    </w:p>
    <w:p w14:paraId="60EF535D">
      <w:pPr>
        <w:pStyle w:val="4"/>
        <w:tabs>
          <w:tab w:val="left" w:pos="7982"/>
          <w:tab w:val="left" w:pos="8080"/>
          <w:tab w:val="left" w:pos="8222"/>
        </w:tabs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综上所述，当事人确有</w:t>
      </w:r>
      <w:r>
        <w:rPr>
          <w:rFonts w:hint="eastAsia" w:eastAsia="仿宋_GB2312"/>
          <w:kern w:val="0"/>
          <w:sz w:val="32"/>
          <w:szCs w:val="32"/>
        </w:rPr>
        <w:t>未</w:t>
      </w:r>
      <w:r>
        <w:rPr>
          <w:rFonts w:hint="eastAsia" w:eastAsia="仿宋_GB2312"/>
          <w:sz w:val="32"/>
        </w:rPr>
        <w:t>按照排污许可证规定和有关标准规范依法开展自行监测的违法行为，</w:t>
      </w:r>
      <w:r>
        <w:rPr>
          <w:rFonts w:eastAsia="仿宋_GB2312"/>
          <w:kern w:val="0"/>
          <w:sz w:val="32"/>
          <w:szCs w:val="32"/>
        </w:rPr>
        <w:t>收到</w:t>
      </w:r>
      <w:r>
        <w:rPr>
          <w:rFonts w:eastAsia="仿宋_GB2312"/>
          <w:sz w:val="32"/>
          <w:szCs w:val="24"/>
        </w:rPr>
        <w:t>《责令改正违法行为决定书（给予执法观察期情形）》（穗环（海）责改〔2024〕12号）后</w:t>
      </w:r>
      <w:r>
        <w:rPr>
          <w:rFonts w:eastAsia="仿宋_GB2312"/>
          <w:sz w:val="32"/>
          <w:szCs w:val="32"/>
        </w:rPr>
        <w:t>未在规定时</w:t>
      </w:r>
      <w:r>
        <w:rPr>
          <w:rFonts w:eastAsia="仿宋_GB2312"/>
          <w:sz w:val="32"/>
          <w:szCs w:val="24"/>
        </w:rPr>
        <w:t>限内完成整改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应受处罚。</w:t>
      </w:r>
      <w:r>
        <w:rPr>
          <w:rFonts w:eastAsia="仿宋_GB2312"/>
          <w:sz w:val="32"/>
          <w:szCs w:val="32"/>
        </w:rPr>
        <w:t>当事人申辩提出的事实、理由依法不能成立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现本案经我局审查结束。</w:t>
      </w:r>
    </w:p>
    <w:p w14:paraId="335417A8">
      <w:pPr>
        <w:widowControl/>
        <w:adjustRightInd w:val="0"/>
        <w:spacing w:line="560" w:lineRule="exact"/>
        <w:ind w:firstLine="640" w:firstLineChars="200"/>
        <w:jc w:val="lef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z w:val="32"/>
        </w:rPr>
        <w:t>根据《排污许可管理条例》第三十六条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第五项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规定：“违反本条例规定，排污单位有下列行为之一的，由生态环境主管部门责令改正，处2万元以上20万元以下的罚款；拒不改正的，责令停产整治：（五）未按照排污许可证规定制定自行监测方案并开展自行监测；”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和《广东省生态环境行政处罚自由裁量权规定》附件1</w:t>
      </w:r>
      <w:r>
        <w:rPr>
          <w:rFonts w:hint="eastAsia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§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8.32项的规定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（当事人违法行为发生在环境敏感区或限批区以外的区域，排放B 类水污染物，配合调查，且无其他从轻或从重的情节）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我局现对当事人作出如下行政处罚：</w:t>
      </w:r>
    </w:p>
    <w:p w14:paraId="7945F8B3">
      <w:pPr>
        <w:widowControl/>
        <w:adjustRightInd w:val="0"/>
        <w:spacing w:line="560" w:lineRule="exact"/>
        <w:ind w:firstLine="640" w:firstLineChars="200"/>
        <w:jc w:val="lef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1. 责令改正违法行为；</w:t>
      </w:r>
    </w:p>
    <w:p w14:paraId="283E626D">
      <w:pPr>
        <w:pStyle w:val="4"/>
        <w:tabs>
          <w:tab w:val="left" w:pos="7382"/>
          <w:tab w:val="left" w:pos="7982"/>
        </w:tabs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2. 罚款叁万伍千元整（35000元）。</w:t>
      </w:r>
    </w:p>
    <w:p w14:paraId="25FF4680">
      <w:pPr>
        <w:pStyle w:val="4"/>
        <w:tabs>
          <w:tab w:val="left" w:pos="7382"/>
          <w:tab w:val="left" w:pos="7982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/>
        </w:rPr>
        <w:t>三、处罚内容的履行要求和当事人的救济权利</w:t>
      </w:r>
    </w:p>
    <w:p w14:paraId="438F9E49">
      <w:pPr>
        <w:pStyle w:val="4"/>
        <w:tabs>
          <w:tab w:val="left" w:pos="7382"/>
          <w:tab w:val="left" w:pos="7982"/>
        </w:tabs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限当事人在收到本处罚决定书之日起15日内，按照《广东省非税收入一般缴款书》的要求，将上述罚款缴到非税收入代收银行（中国工商银行股份有限公司广州分行、中国农业银行股份有限公司广州分行、中国银行股份有限公司广州分行、中国建设银行股份有限公司广州分行、交通银行股份有限公司广东省分行、中国邮政储蓄银行股份有限公司广州市分行、广发银行股份有限公司广州分行、中国光大银行股份有限公司广州分行、华夏银行股份有限公司广州分行、中国民生银行股份有限公司广州分行、平安银行股份有限公司广州分行、浦发银行股份有限公司广州分行、兴业银行股份有限公司广州分行、招商银行股份有限公司广州分行、中信银行股份有限公司广州分行、广州银行股份有限公司、渤海银行股份有限公司广州分行、东莞银行股份有限公司广州分行、江西银行股份有限公司广州分行、九江银行股份有限公司广州分行、广东南粤银行股份有限公司广州分行、浙商银行股份有限公司广州分行、广州农村商业银行股份有限公司、广东华兴银行股份有限公司广州分行、珠海华润银行股份有限公司广州分行、创兴银行有限公司广州分行、恒丰银行股份有限公司广州分行），收入项目编码：103050125100。</w:t>
      </w:r>
    </w:p>
    <w:p w14:paraId="01E399B2">
      <w:pPr>
        <w:pStyle w:val="4"/>
        <w:tabs>
          <w:tab w:val="left" w:pos="7382"/>
          <w:tab w:val="left" w:pos="7982"/>
        </w:tabs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中华人民共和国行政处罚法》第七十二条和《生态环境行政处罚办法》第七十条规定，当事人逾期不履行上述处罚决定内容的，我局将每日按罚款额的百分之三加处罚款，并依照《中华人民共和国行政强制法》的规定申请人民法院强制执行。</w:t>
      </w:r>
    </w:p>
    <w:p w14:paraId="665C0034">
      <w:pPr>
        <w:pStyle w:val="4"/>
        <w:tabs>
          <w:tab w:val="left" w:pos="7382"/>
          <w:tab w:val="left" w:pos="7982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当事人如不服本决定，可在收到文书之日起60日内向广州市人民政府提出行政复议申请（地址：广州市越秀区小北路183号金和大厦2楼广州市政府行政复议办公室窗口，电话：020-83555988）；或者在收到文书之日起6个月内直接向广州铁路运输法院提起行政诉讼。行政复议和行政诉讼期间，不停止本决定的执行。</w:t>
      </w:r>
    </w:p>
    <w:p w14:paraId="30A02E44">
      <w:pPr>
        <w:pStyle w:val="4"/>
        <w:tabs>
          <w:tab w:val="left" w:pos="7382"/>
          <w:tab w:val="left" w:pos="7982"/>
        </w:tabs>
        <w:spacing w:line="560" w:lineRule="exact"/>
        <w:rPr>
          <w:rFonts w:eastAsia="仿宋_GB2312"/>
          <w:sz w:val="32"/>
          <w:szCs w:val="32"/>
        </w:rPr>
      </w:pPr>
    </w:p>
    <w:p w14:paraId="4E95210F">
      <w:pPr>
        <w:pStyle w:val="4"/>
        <w:tabs>
          <w:tab w:val="left" w:pos="7382"/>
          <w:tab w:val="left" w:pos="7982"/>
        </w:tabs>
        <w:spacing w:line="560" w:lineRule="exact"/>
        <w:rPr>
          <w:rFonts w:eastAsia="仿宋_GB2312"/>
          <w:sz w:val="32"/>
          <w:szCs w:val="32"/>
        </w:rPr>
      </w:pPr>
    </w:p>
    <w:p w14:paraId="0276541C">
      <w:pPr>
        <w:pStyle w:val="4"/>
        <w:tabs>
          <w:tab w:val="left" w:pos="7382"/>
          <w:tab w:val="left" w:pos="7982"/>
        </w:tabs>
        <w:spacing w:line="560" w:lineRule="exact"/>
        <w:rPr>
          <w:rFonts w:eastAsia="仿宋_GB2312"/>
          <w:sz w:val="32"/>
          <w:szCs w:val="32"/>
        </w:rPr>
      </w:pPr>
    </w:p>
    <w:p w14:paraId="3E626DA7">
      <w:pPr>
        <w:pStyle w:val="4"/>
        <w:tabs>
          <w:tab w:val="left" w:pos="7382"/>
          <w:tab w:val="left" w:pos="7982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hint="eastAsia" w:eastAsia="仿宋_GB2312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 xml:space="preserve">  广州市生态环境局</w:t>
      </w:r>
    </w:p>
    <w:p w14:paraId="324F33B2">
      <w:pPr>
        <w:pStyle w:val="4"/>
        <w:tabs>
          <w:tab w:val="left" w:pos="7382"/>
          <w:tab w:val="left" w:pos="7982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2024年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</w:t>
      </w:r>
    </w:p>
    <w:p w14:paraId="66B650DF">
      <w:pPr>
        <w:pStyle w:val="4"/>
        <w:tabs>
          <w:tab w:val="left" w:pos="7382"/>
          <w:tab w:val="left" w:pos="7982"/>
        </w:tabs>
        <w:spacing w:line="500" w:lineRule="exact"/>
        <w:jc w:val="center"/>
        <w:rPr>
          <w:rFonts w:eastAsia="仿宋_GB2312"/>
          <w:sz w:val="32"/>
          <w:szCs w:val="32"/>
        </w:rPr>
      </w:pPr>
    </w:p>
    <w:p w14:paraId="008193D8">
      <w:pPr>
        <w:spacing w:line="500" w:lineRule="exact"/>
      </w:pPr>
    </w:p>
    <w:p w14:paraId="7FEEC9BD">
      <w:pPr>
        <w:pStyle w:val="2"/>
      </w:pPr>
    </w:p>
    <w:p w14:paraId="17A7091E">
      <w:pPr>
        <w:pStyle w:val="2"/>
      </w:pPr>
    </w:p>
    <w:p w14:paraId="3DCFA6D7">
      <w:pPr>
        <w:pStyle w:val="2"/>
      </w:pPr>
    </w:p>
    <w:p w14:paraId="322B09D7">
      <w:pPr>
        <w:pStyle w:val="2"/>
      </w:pPr>
    </w:p>
    <w:p w14:paraId="2546CC56">
      <w:pPr>
        <w:pStyle w:val="2"/>
      </w:pPr>
    </w:p>
    <w:p w14:paraId="222ADFAD">
      <w:pPr>
        <w:pStyle w:val="2"/>
      </w:pPr>
    </w:p>
    <w:p w14:paraId="3BA6F196">
      <w:pPr>
        <w:pStyle w:val="2"/>
      </w:pPr>
    </w:p>
    <w:p w14:paraId="2DAC71CB">
      <w:pPr>
        <w:pStyle w:val="2"/>
      </w:pPr>
    </w:p>
    <w:p w14:paraId="5FDFDB6A">
      <w:pPr>
        <w:pStyle w:val="2"/>
      </w:pPr>
    </w:p>
    <w:p w14:paraId="517A93DA">
      <w:pPr>
        <w:pStyle w:val="2"/>
      </w:pPr>
    </w:p>
    <w:p w14:paraId="70F8A01E">
      <w:pPr>
        <w:pStyle w:val="2"/>
      </w:pPr>
    </w:p>
    <w:p w14:paraId="75A4849A">
      <w:pPr>
        <w:pStyle w:val="2"/>
      </w:pPr>
    </w:p>
    <w:p w14:paraId="30047D10">
      <w:pPr>
        <w:pStyle w:val="2"/>
      </w:pPr>
    </w:p>
    <w:p w14:paraId="132A2A71">
      <w:pPr>
        <w:pStyle w:val="2"/>
      </w:pPr>
    </w:p>
    <w:p w14:paraId="63090DAE">
      <w:pPr>
        <w:pStyle w:val="2"/>
      </w:pPr>
    </w:p>
    <w:p w14:paraId="56D39F61">
      <w:pPr>
        <w:pStyle w:val="2"/>
      </w:pPr>
    </w:p>
    <w:p w14:paraId="531C4A6D">
      <w:pPr>
        <w:pStyle w:val="2"/>
      </w:pPr>
    </w:p>
    <w:p w14:paraId="7EE68842">
      <w:pPr>
        <w:pStyle w:val="2"/>
      </w:pPr>
    </w:p>
    <w:p w14:paraId="16956D81">
      <w:pPr>
        <w:pStyle w:val="2"/>
      </w:pPr>
    </w:p>
    <w:p w14:paraId="4E1C3FFB">
      <w:pPr>
        <w:pStyle w:val="2"/>
      </w:pPr>
    </w:p>
    <w:p w14:paraId="118F9068">
      <w:pPr>
        <w:pStyle w:val="2"/>
      </w:pPr>
    </w:p>
    <w:p w14:paraId="0B88A1F0">
      <w:pPr>
        <w:pStyle w:val="2"/>
      </w:pPr>
    </w:p>
    <w:p w14:paraId="5D26A463">
      <w:pPr>
        <w:pStyle w:val="2"/>
        <w:spacing w:line="500" w:lineRule="exact"/>
      </w:pPr>
    </w:p>
    <w:p w14:paraId="1A672AFF">
      <w:pPr>
        <w:pStyle w:val="2"/>
        <w:spacing w:line="500" w:lineRule="exact"/>
      </w:pPr>
    </w:p>
    <w:p w14:paraId="48C2E2C2">
      <w:pPr>
        <w:pStyle w:val="2"/>
        <w:spacing w:line="500" w:lineRule="exact"/>
      </w:pPr>
    </w:p>
    <w:p w14:paraId="12E96DB9">
      <w:pPr>
        <w:pStyle w:val="4"/>
        <w:tabs>
          <w:tab w:val="left" w:pos="7382"/>
          <w:tab w:val="left" w:pos="7982"/>
        </w:tabs>
        <w:spacing w:line="500" w:lineRule="exact"/>
      </w:pPr>
      <w:r>
        <w:rPr>
          <w:rFonts w:hint="eastAsia" w:ascii="黑体" w:hAnsi="黑体" w:eastAsia="黑体" w:cs="黑体"/>
          <w:sz w:val="32"/>
          <w:szCs w:val="32"/>
        </w:rPr>
        <w:t>公开方式</w:t>
      </w:r>
      <w:r>
        <w:rPr>
          <w:rFonts w:hint="eastAsia" w:eastAsia="仿宋_GB2312"/>
          <w:sz w:val="32"/>
          <w:szCs w:val="32"/>
        </w:rPr>
        <w:t>：主动公开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292D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A9A8D"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7A9A8D"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BD6DB">
                          <w:pPr>
                            <w:pStyle w:val="6"/>
                            <w:rPr>
                              <w:rFonts w:hint="eastAsia" w:ascii="宋体" w:hAnsi="宋体" w:cs="宋体"/>
                              <w:color w:val="000000" w:themeColor="text1"/>
                              <w:sz w:val="28"/>
                              <w:szCs w:val="2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BD6DB">
                    <w:pPr>
                      <w:pStyle w:val="6"/>
                      <w:rPr>
                        <w:rFonts w:hint="eastAsia" w:ascii="宋体" w:hAnsi="宋体" w:cs="宋体"/>
                        <w:color w:val="000000" w:themeColor="text1"/>
                        <w:sz w:val="28"/>
                        <w:szCs w:val="2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  <w:p w14:paraId="5D4FB9FF">
    <w:pPr>
      <w:pStyle w:val="6"/>
    </w:pPr>
  </w:p>
  <w:p w14:paraId="16588BE3">
    <w:pPr>
      <w:pStyle w:val="6"/>
    </w:pPr>
  </w:p>
  <w:p w14:paraId="598FD4FF">
    <w:pPr>
      <w:pStyle w:val="6"/>
      <w:tabs>
        <w:tab w:val="left" w:pos="7336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4MzdlM2Y5OWIxOGZjY2I0YmY2ODNmMWFmYjNmNjAifQ=="/>
  </w:docVars>
  <w:rsids>
    <w:rsidRoot w:val="36C26045"/>
    <w:rsid w:val="00005C4D"/>
    <w:rsid w:val="000A6170"/>
    <w:rsid w:val="001248F6"/>
    <w:rsid w:val="001A5DA3"/>
    <w:rsid w:val="0034018D"/>
    <w:rsid w:val="003E3304"/>
    <w:rsid w:val="004600D6"/>
    <w:rsid w:val="004A1562"/>
    <w:rsid w:val="004D31B8"/>
    <w:rsid w:val="007F0962"/>
    <w:rsid w:val="008B6F54"/>
    <w:rsid w:val="00901643"/>
    <w:rsid w:val="00A56958"/>
    <w:rsid w:val="00A9172B"/>
    <w:rsid w:val="00C15B49"/>
    <w:rsid w:val="00C6456C"/>
    <w:rsid w:val="00E003A1"/>
    <w:rsid w:val="00E456AC"/>
    <w:rsid w:val="00EE1F58"/>
    <w:rsid w:val="00FF2135"/>
    <w:rsid w:val="00FF5B37"/>
    <w:rsid w:val="092E7F3C"/>
    <w:rsid w:val="0FDB62AC"/>
    <w:rsid w:val="14707066"/>
    <w:rsid w:val="1B3F3415"/>
    <w:rsid w:val="1B8C7CB5"/>
    <w:rsid w:val="1F400656"/>
    <w:rsid w:val="2141380D"/>
    <w:rsid w:val="22D622C7"/>
    <w:rsid w:val="28E63337"/>
    <w:rsid w:val="298365D8"/>
    <w:rsid w:val="2F753DEB"/>
    <w:rsid w:val="31FA7DE1"/>
    <w:rsid w:val="36C26045"/>
    <w:rsid w:val="39E65C0C"/>
    <w:rsid w:val="41A1793F"/>
    <w:rsid w:val="42DF3617"/>
    <w:rsid w:val="437D4550"/>
    <w:rsid w:val="44620B2C"/>
    <w:rsid w:val="449C185C"/>
    <w:rsid w:val="467F21AA"/>
    <w:rsid w:val="48C56203"/>
    <w:rsid w:val="53DB0C3B"/>
    <w:rsid w:val="56625644"/>
    <w:rsid w:val="5A3E2EDC"/>
    <w:rsid w:val="5CB14C2F"/>
    <w:rsid w:val="5D300CE8"/>
    <w:rsid w:val="5F6A0A2B"/>
    <w:rsid w:val="60C848A7"/>
    <w:rsid w:val="671510D2"/>
    <w:rsid w:val="672C36E6"/>
    <w:rsid w:val="67616A1A"/>
    <w:rsid w:val="69461D42"/>
    <w:rsid w:val="699A002F"/>
    <w:rsid w:val="6AAE1E20"/>
    <w:rsid w:val="71275730"/>
    <w:rsid w:val="720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方正小标宋_GBK" w:hAnsi="宋体" w:eastAsia="方正小标宋_GBK"/>
      <w:color w:val="000000"/>
      <w:kern w:val="0"/>
      <w:sz w:val="24"/>
      <w:szCs w:val="24"/>
    </w:rPr>
  </w:style>
  <w:style w:type="paragraph" w:styleId="4">
    <w:name w:val="Body Text"/>
    <w:basedOn w:val="1"/>
    <w:qFormat/>
    <w:uiPriority w:val="0"/>
    <w:rPr>
      <w:sz w:val="30"/>
      <w:szCs w:val="30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批注框文本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2407</Words>
  <Characters>2525</Characters>
  <Lines>19</Lines>
  <Paragraphs>5</Paragraphs>
  <TotalTime>70</TotalTime>
  <ScaleCrop>false</ScaleCrop>
  <LinksUpToDate>false</LinksUpToDate>
  <CharactersWithSpaces>2574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2024-09-20T07:56:00Z</dcterms:created>
  <dc:creator>Lawyer-He</dc:creator>
  <cp:lastModifiedBy>Ming</cp:lastModifiedBy>
  <cp:lastPrinted>2024-10-09T09:58:00Z</cp:lastPrinted>
  <dcterms:modified xsi:type="dcterms:W3CDTF">2024-10-10T10:29:25Z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2AACBF902A884D238623317D131283D1_13</vt:lpwstr>
  </property>
</Properties>
</file>