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4F16C6">
      <w:pPr>
        <w:pStyle w:val="2"/>
        <w:spacing w:before="156" w:beforeLines="50" w:after="156" w:afterLines="50" w:line="377" w:lineRule="auto"/>
        <w:jc w:val="center"/>
        <w:rPr>
          <w:rFonts w:ascii="宋体" w:hAnsi="宋体" w:eastAsia="宋体"/>
          <w:color w:val="auto"/>
        </w:rPr>
      </w:pPr>
      <w:r>
        <w:rPr>
          <w:rFonts w:hint="eastAsia" w:ascii="宋体" w:hAnsi="宋体" w:eastAsia="宋体"/>
          <w:color w:val="auto"/>
        </w:rPr>
        <w:t>广州市海珠区瑞宝街道晓港湾花园社区“改造”工程项目建议书与可研（编制）项目综合评分表</w:t>
      </w:r>
    </w:p>
    <w:tbl>
      <w:tblPr>
        <w:tblStyle w:val="4"/>
        <w:tblW w:w="5593"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49"/>
        <w:gridCol w:w="1125"/>
        <w:gridCol w:w="6062"/>
        <w:gridCol w:w="938"/>
        <w:gridCol w:w="659"/>
      </w:tblGrid>
      <w:tr w14:paraId="624551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754" w:hRule="atLeast"/>
        </w:trPr>
        <w:tc>
          <w:tcPr>
            <w:tcW w:w="392" w:type="pct"/>
            <w:vAlign w:val="center"/>
          </w:tcPr>
          <w:p w14:paraId="05ADA460">
            <w:pPr>
              <w:snapToGrid w:val="0"/>
              <w:spacing w:line="264" w:lineRule="auto"/>
              <w:ind w:left="-78" w:leftChars="-37" w:right="-73" w:rightChars="-35"/>
              <w:jc w:val="center"/>
              <w:rPr>
                <w:rFonts w:hint="eastAsia" w:ascii="宋体" w:hAnsi="宋体" w:eastAsia="宋体" w:cs="宋体"/>
                <w:b/>
                <w:color w:val="auto"/>
                <w:sz w:val="24"/>
                <w:szCs w:val="24"/>
              </w:rPr>
            </w:pPr>
            <w:bookmarkStart w:id="0" w:name="方案_综合评分表_1"/>
            <w:bookmarkStart w:id="1" w:name="敏感词检测_综合评分表_1"/>
            <w:r>
              <w:rPr>
                <w:rFonts w:hint="eastAsia" w:ascii="宋体" w:hAnsi="宋体" w:eastAsia="宋体" w:cs="宋体"/>
                <w:b/>
                <w:color w:val="auto"/>
                <w:sz w:val="24"/>
                <w:szCs w:val="24"/>
              </w:rPr>
              <w:t>序号</w:t>
            </w:r>
          </w:p>
        </w:tc>
        <w:tc>
          <w:tcPr>
            <w:tcW w:w="590" w:type="pct"/>
            <w:vAlign w:val="center"/>
          </w:tcPr>
          <w:p w14:paraId="6F15D5B1">
            <w:pPr>
              <w:snapToGrid w:val="0"/>
              <w:spacing w:line="264" w:lineRule="auto"/>
              <w:ind w:left="-78" w:leftChars="-37" w:right="-73" w:rightChars="-35"/>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评审因素</w:t>
            </w:r>
          </w:p>
        </w:tc>
        <w:tc>
          <w:tcPr>
            <w:tcW w:w="3179" w:type="pct"/>
            <w:vAlign w:val="center"/>
          </w:tcPr>
          <w:p w14:paraId="6034A5F9">
            <w:pPr>
              <w:snapToGrid w:val="0"/>
              <w:spacing w:line="264" w:lineRule="auto"/>
              <w:ind w:left="-78" w:leftChars="-37" w:right="-73" w:rightChars="-35"/>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评分细则</w:t>
            </w:r>
          </w:p>
        </w:tc>
        <w:tc>
          <w:tcPr>
            <w:tcW w:w="491" w:type="pct"/>
            <w:vAlign w:val="center"/>
          </w:tcPr>
          <w:p w14:paraId="200FD912">
            <w:pPr>
              <w:snapToGrid w:val="0"/>
              <w:spacing w:line="264" w:lineRule="auto"/>
              <w:ind w:left="-78" w:leftChars="-37" w:right="-73" w:rightChars="-35"/>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分值（分）</w:t>
            </w:r>
          </w:p>
        </w:tc>
        <w:tc>
          <w:tcPr>
            <w:tcW w:w="345" w:type="pct"/>
            <w:vAlign w:val="center"/>
          </w:tcPr>
          <w:p w14:paraId="52002641">
            <w:pPr>
              <w:snapToGrid w:val="0"/>
              <w:spacing w:line="264" w:lineRule="auto"/>
              <w:ind w:left="-78" w:leftChars="-37" w:right="-73" w:rightChars="-35"/>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权重（%）</w:t>
            </w:r>
          </w:p>
        </w:tc>
      </w:tr>
      <w:tr w14:paraId="1E3F19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3" w:hRule="atLeast"/>
        </w:trPr>
        <w:tc>
          <w:tcPr>
            <w:tcW w:w="392" w:type="pct"/>
            <w:vAlign w:val="center"/>
          </w:tcPr>
          <w:p w14:paraId="445F6643">
            <w:pPr>
              <w:snapToGrid w:val="0"/>
              <w:spacing w:line="264" w:lineRule="auto"/>
              <w:ind w:left="-78" w:leftChars="-37" w:right="-73" w:rightChars="-35"/>
              <w:jc w:val="center"/>
              <w:rPr>
                <w:rFonts w:hint="eastAsia" w:ascii="宋体" w:hAnsi="宋体" w:eastAsia="宋体" w:cs="宋体"/>
                <w:color w:val="auto"/>
                <w:sz w:val="24"/>
                <w:szCs w:val="24"/>
              </w:rPr>
            </w:pPr>
            <w:r>
              <w:rPr>
                <w:rFonts w:hint="eastAsia" w:ascii="宋体" w:hAnsi="宋体" w:eastAsia="宋体" w:cs="宋体"/>
                <w:color w:val="auto"/>
                <w:sz w:val="24"/>
                <w:szCs w:val="24"/>
              </w:rPr>
              <w:t>一</w:t>
            </w:r>
          </w:p>
        </w:tc>
        <w:tc>
          <w:tcPr>
            <w:tcW w:w="4607" w:type="pct"/>
            <w:gridSpan w:val="4"/>
            <w:vAlign w:val="center"/>
          </w:tcPr>
          <w:p w14:paraId="3C24BB94">
            <w:pPr>
              <w:snapToGrid w:val="0"/>
              <w:spacing w:line="264" w:lineRule="auto"/>
              <w:ind w:left="-78" w:leftChars="-37" w:right="-73" w:rightChars="-35"/>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技术部分（合计</w:t>
            </w:r>
            <w:r>
              <w:rPr>
                <w:rFonts w:hint="eastAsia" w:ascii="宋体" w:hAnsi="宋体" w:cs="宋体"/>
                <w:b/>
                <w:color w:val="auto"/>
                <w:sz w:val="24"/>
                <w:szCs w:val="24"/>
                <w:lang w:val="en-US" w:eastAsia="zh-CN"/>
              </w:rPr>
              <w:t>50</w:t>
            </w:r>
            <w:r>
              <w:rPr>
                <w:rFonts w:hint="eastAsia" w:ascii="宋体" w:hAnsi="宋体" w:eastAsia="宋体" w:cs="宋体"/>
                <w:b/>
                <w:color w:val="auto"/>
                <w:sz w:val="24"/>
                <w:szCs w:val="24"/>
              </w:rPr>
              <w:t xml:space="preserve">分） </w:t>
            </w:r>
          </w:p>
        </w:tc>
      </w:tr>
      <w:tr w14:paraId="38EF15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73" w:hRule="atLeast"/>
        </w:trPr>
        <w:tc>
          <w:tcPr>
            <w:tcW w:w="392" w:type="pct"/>
            <w:vAlign w:val="center"/>
          </w:tcPr>
          <w:p w14:paraId="2FE64245">
            <w:pPr>
              <w:pStyle w:val="6"/>
              <w:numPr>
                <w:ilvl w:val="0"/>
                <w:numId w:val="1"/>
              </w:numPr>
              <w:snapToGrid w:val="0"/>
              <w:spacing w:line="264" w:lineRule="auto"/>
              <w:ind w:firstLineChars="0"/>
              <w:jc w:val="center"/>
              <w:rPr>
                <w:rFonts w:hint="eastAsia" w:ascii="宋体" w:hAnsi="宋体" w:eastAsia="宋体" w:cs="宋体"/>
                <w:color w:val="auto"/>
                <w:sz w:val="24"/>
                <w:szCs w:val="24"/>
              </w:rPr>
            </w:pPr>
            <w:bookmarkStart w:id="2" w:name="回填数据_技术评分_权重_1" w:colFirst="4" w:colLast="4"/>
            <w:bookmarkStart w:id="3" w:name="回填数据_技术评分_评审规则_1" w:colFirst="2" w:colLast="2"/>
            <w:bookmarkStart w:id="4" w:name="回填数据_技术评分_标准分值_1" w:colFirst="3" w:colLast="3"/>
            <w:bookmarkStart w:id="5" w:name="回填数据_技术评分_评审项目_1" w:colFirst="1" w:colLast="1"/>
            <w:bookmarkStart w:id="6" w:name="回填数据_技术评分_序号_自动生成_1" w:colFirst="0" w:colLast="0"/>
          </w:p>
        </w:tc>
        <w:tc>
          <w:tcPr>
            <w:tcW w:w="590" w:type="pct"/>
            <w:shd w:val="clear" w:color="auto" w:fill="auto"/>
            <w:vAlign w:val="center"/>
          </w:tcPr>
          <w:p w14:paraId="136BB6F0">
            <w:pPr>
              <w:pStyle w:val="7"/>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rPr>
              <w:t>项目组织实施方案 (14.0分)</w:t>
            </w:r>
          </w:p>
        </w:tc>
        <w:tc>
          <w:tcPr>
            <w:tcW w:w="3179" w:type="pct"/>
            <w:shd w:val="clear" w:color="auto" w:fill="auto"/>
            <w:vAlign w:val="top"/>
          </w:tcPr>
          <w:p w14:paraId="51B900A5">
            <w:pPr>
              <w:pStyle w:val="7"/>
              <w:spacing w:line="240" w:lineRule="auto"/>
              <w:jc w:val="left"/>
              <w:rPr>
                <w:rFonts w:hint="eastAsia" w:ascii="宋体" w:hAnsi="宋体" w:eastAsia="宋体" w:cs="宋体"/>
                <w:sz w:val="24"/>
                <w:szCs w:val="24"/>
              </w:rPr>
            </w:pPr>
            <w:r>
              <w:rPr>
                <w:rFonts w:hint="eastAsia" w:ascii="宋体" w:hAnsi="宋体" w:eastAsia="宋体" w:cs="宋体"/>
                <w:sz w:val="24"/>
                <w:szCs w:val="24"/>
              </w:rPr>
              <w:t>评委会根据</w:t>
            </w:r>
            <w:r>
              <w:rPr>
                <w:rFonts w:hint="eastAsia" w:ascii="宋体" w:hAnsi="宋体" w:eastAsia="宋体" w:cs="宋体"/>
                <w:sz w:val="24"/>
                <w:szCs w:val="24"/>
                <w:lang w:eastAsia="zh-CN"/>
              </w:rPr>
              <w:t>响应供应商</w:t>
            </w:r>
            <w:r>
              <w:rPr>
                <w:rFonts w:hint="eastAsia" w:ascii="宋体" w:hAnsi="宋体" w:eastAsia="宋体" w:cs="宋体"/>
                <w:sz w:val="24"/>
                <w:szCs w:val="24"/>
              </w:rPr>
              <w:t>提供的项目组织实施方案（包括但不限于：对项目的理解、业务处理流程、进度计划安排及保证措施等内容）进行</w:t>
            </w:r>
            <w:r>
              <w:rPr>
                <w:rFonts w:hint="eastAsia" w:ascii="宋体" w:hAnsi="宋体" w:eastAsia="宋体" w:cs="宋体"/>
                <w:sz w:val="24"/>
                <w:szCs w:val="24"/>
                <w:lang w:val="en-US" w:eastAsia="zh-CN"/>
              </w:rPr>
              <w:t>评审</w:t>
            </w:r>
            <w:r>
              <w:rPr>
                <w:rFonts w:hint="eastAsia" w:ascii="宋体" w:hAnsi="宋体" w:eastAsia="宋体" w:cs="宋体"/>
                <w:sz w:val="24"/>
                <w:szCs w:val="24"/>
              </w:rPr>
              <w:t xml:space="preserve">。 </w:t>
            </w:r>
          </w:p>
          <w:p w14:paraId="0EE71B0B">
            <w:pPr>
              <w:pStyle w:val="7"/>
              <w:numPr>
                <w:ilvl w:val="0"/>
                <w:numId w:val="2"/>
              </w:numPr>
              <w:spacing w:line="240" w:lineRule="auto"/>
              <w:jc w:val="left"/>
              <w:rPr>
                <w:rFonts w:hint="eastAsia" w:ascii="宋体" w:hAnsi="宋体" w:eastAsia="宋体" w:cs="宋体"/>
                <w:sz w:val="24"/>
                <w:szCs w:val="24"/>
              </w:rPr>
            </w:pPr>
            <w:r>
              <w:rPr>
                <w:rFonts w:hint="eastAsia" w:ascii="宋体" w:hAnsi="宋体" w:eastAsia="宋体" w:cs="宋体"/>
                <w:sz w:val="24"/>
                <w:szCs w:val="24"/>
              </w:rPr>
              <w:t xml:space="preserve">项目组织实施方案完整，科学性、合理性、可执行性最强，描述清晰的，得14分； </w:t>
            </w:r>
          </w:p>
          <w:p w14:paraId="7794EC1D">
            <w:pPr>
              <w:pStyle w:val="7"/>
              <w:numPr>
                <w:ilvl w:val="0"/>
                <w:numId w:val="2"/>
              </w:numPr>
              <w:spacing w:line="240" w:lineRule="auto"/>
              <w:jc w:val="left"/>
              <w:rPr>
                <w:rFonts w:hint="eastAsia" w:ascii="宋体" w:hAnsi="宋体" w:eastAsia="宋体" w:cs="宋体"/>
                <w:sz w:val="24"/>
                <w:szCs w:val="24"/>
                <w:lang w:val="en-US" w:eastAsia="zh-CN"/>
              </w:rPr>
            </w:pPr>
            <w:r>
              <w:rPr>
                <w:rFonts w:hint="eastAsia" w:ascii="宋体" w:hAnsi="宋体" w:eastAsia="宋体" w:cs="宋体"/>
                <w:sz w:val="24"/>
                <w:szCs w:val="24"/>
              </w:rPr>
              <w:t>项目组织实施方案基本完整，科学性、合理性、可执行性较强，描述较为清晰的，得10分；</w:t>
            </w:r>
          </w:p>
          <w:p w14:paraId="1DF439B6">
            <w:pPr>
              <w:pStyle w:val="7"/>
              <w:numPr>
                <w:ilvl w:val="0"/>
                <w:numId w:val="2"/>
              </w:numPr>
              <w:spacing w:line="240" w:lineRule="auto"/>
              <w:jc w:val="left"/>
              <w:rPr>
                <w:rFonts w:hint="eastAsia" w:ascii="宋体" w:hAnsi="宋体" w:eastAsia="宋体" w:cs="宋体"/>
                <w:sz w:val="24"/>
                <w:szCs w:val="24"/>
                <w:lang w:val="en-US" w:eastAsia="zh-CN"/>
              </w:rPr>
            </w:pPr>
            <w:r>
              <w:rPr>
                <w:rFonts w:hint="eastAsia" w:ascii="宋体" w:hAnsi="宋体" w:eastAsia="宋体" w:cs="宋体"/>
                <w:sz w:val="24"/>
                <w:szCs w:val="24"/>
              </w:rPr>
              <w:t xml:space="preserve">项目组织实施方案不完整，科学性、合理性、可执行性较弱，描述不够清晰的，得6分； </w:t>
            </w:r>
          </w:p>
          <w:p w14:paraId="32D5012C">
            <w:pPr>
              <w:pStyle w:val="7"/>
              <w:numPr>
                <w:ilvl w:val="0"/>
                <w:numId w:val="2"/>
              </w:numPr>
              <w:spacing w:line="240" w:lineRule="auto"/>
              <w:jc w:val="left"/>
              <w:rPr>
                <w:rFonts w:hint="eastAsia" w:ascii="宋体" w:hAnsi="宋体" w:eastAsia="宋体" w:cs="宋体"/>
                <w:sz w:val="24"/>
                <w:szCs w:val="24"/>
                <w:lang w:val="en-US" w:eastAsia="zh-CN"/>
              </w:rPr>
            </w:pPr>
            <w:r>
              <w:rPr>
                <w:rFonts w:hint="eastAsia" w:ascii="宋体" w:hAnsi="宋体" w:eastAsia="宋体" w:cs="宋体"/>
                <w:sz w:val="24"/>
                <w:szCs w:val="24"/>
              </w:rPr>
              <w:t>项目组织实施方案科学性、合理性差，不可执行的，得3分</w:t>
            </w:r>
          </w:p>
          <w:p w14:paraId="11FAD164">
            <w:pPr>
              <w:pStyle w:val="7"/>
              <w:numPr>
                <w:ilvl w:val="0"/>
                <w:numId w:val="0"/>
              </w:numPr>
              <w:spacing w:line="240" w:lineRule="auto"/>
              <w:jc w:val="left"/>
              <w:rPr>
                <w:rFonts w:hint="eastAsia" w:ascii="宋体" w:hAnsi="宋体" w:eastAsia="宋体" w:cs="宋体"/>
                <w:sz w:val="24"/>
                <w:szCs w:val="24"/>
                <w:lang w:val="en-US" w:eastAsia="zh-CN"/>
              </w:rPr>
            </w:pPr>
            <w:r>
              <w:rPr>
                <w:rFonts w:hint="eastAsia" w:ascii="宋体" w:hAnsi="宋体" w:eastAsia="宋体" w:cs="宋体"/>
                <w:sz w:val="24"/>
                <w:szCs w:val="24"/>
              </w:rPr>
              <w:t>无提供不得分。</w:t>
            </w:r>
          </w:p>
        </w:tc>
        <w:tc>
          <w:tcPr>
            <w:tcW w:w="491" w:type="pct"/>
            <w:vAlign w:val="center"/>
          </w:tcPr>
          <w:p w14:paraId="5A28BFB4">
            <w:pPr>
              <w:snapToGrid w:val="0"/>
              <w:spacing w:line="264"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14</w:t>
            </w:r>
          </w:p>
        </w:tc>
        <w:tc>
          <w:tcPr>
            <w:tcW w:w="345" w:type="pct"/>
            <w:vAlign w:val="center"/>
          </w:tcPr>
          <w:p w14:paraId="2F830780">
            <w:pPr>
              <w:snapToGrid w:val="0"/>
              <w:spacing w:line="264" w:lineRule="auto"/>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14</w:t>
            </w:r>
          </w:p>
        </w:tc>
      </w:tr>
      <w:tr w14:paraId="54BDB0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62" w:hRule="atLeast"/>
        </w:trPr>
        <w:tc>
          <w:tcPr>
            <w:tcW w:w="392" w:type="pct"/>
            <w:vAlign w:val="center"/>
          </w:tcPr>
          <w:p w14:paraId="33F4E428">
            <w:pPr>
              <w:pStyle w:val="6"/>
              <w:numPr>
                <w:ilvl w:val="0"/>
                <w:numId w:val="1"/>
              </w:numPr>
              <w:snapToGrid w:val="0"/>
              <w:spacing w:line="264" w:lineRule="auto"/>
              <w:ind w:firstLineChars="0"/>
              <w:jc w:val="center"/>
              <w:rPr>
                <w:rFonts w:hint="eastAsia" w:ascii="宋体" w:hAnsi="宋体" w:eastAsia="宋体" w:cs="宋体"/>
                <w:color w:val="auto"/>
                <w:sz w:val="24"/>
                <w:szCs w:val="24"/>
              </w:rPr>
            </w:pPr>
          </w:p>
        </w:tc>
        <w:tc>
          <w:tcPr>
            <w:tcW w:w="590" w:type="pct"/>
            <w:shd w:val="clear" w:color="auto" w:fill="auto"/>
            <w:vAlign w:val="center"/>
          </w:tcPr>
          <w:p w14:paraId="616CBF54">
            <w:pPr>
              <w:pStyle w:val="7"/>
              <w:jc w:val="center"/>
              <w:rPr>
                <w:rFonts w:hint="eastAsia" w:ascii="宋体" w:hAnsi="宋体" w:eastAsia="宋体" w:cs="宋体"/>
                <w:sz w:val="24"/>
                <w:szCs w:val="24"/>
                <w:lang w:val="en-US" w:eastAsia="zh-CN"/>
              </w:rPr>
            </w:pPr>
            <w:r>
              <w:rPr>
                <w:rFonts w:hint="eastAsia" w:ascii="宋体" w:hAnsi="宋体" w:eastAsia="宋体" w:cs="宋体"/>
                <w:sz w:val="24"/>
                <w:szCs w:val="24"/>
              </w:rPr>
              <w:t>服务质量保证措施 (10.0分)</w:t>
            </w:r>
          </w:p>
        </w:tc>
        <w:tc>
          <w:tcPr>
            <w:tcW w:w="3179" w:type="pct"/>
            <w:shd w:val="clear" w:color="auto" w:fill="auto"/>
            <w:vAlign w:val="top"/>
          </w:tcPr>
          <w:p w14:paraId="3012B7A7">
            <w:pPr>
              <w:pStyle w:val="7"/>
              <w:spacing w:line="240" w:lineRule="auto"/>
              <w:jc w:val="left"/>
              <w:rPr>
                <w:rFonts w:hint="eastAsia" w:ascii="宋体" w:hAnsi="宋体" w:eastAsia="宋体" w:cs="宋体"/>
                <w:sz w:val="24"/>
                <w:szCs w:val="24"/>
              </w:rPr>
            </w:pPr>
            <w:r>
              <w:rPr>
                <w:rFonts w:hint="eastAsia" w:ascii="宋体" w:hAnsi="宋体" w:eastAsia="宋体" w:cs="宋体"/>
                <w:sz w:val="24"/>
                <w:szCs w:val="24"/>
              </w:rPr>
              <w:t>评委会根据</w:t>
            </w:r>
            <w:r>
              <w:rPr>
                <w:rFonts w:hint="eastAsia" w:ascii="宋体" w:hAnsi="宋体" w:eastAsia="宋体" w:cs="宋体"/>
                <w:sz w:val="24"/>
                <w:szCs w:val="24"/>
                <w:lang w:eastAsia="zh-CN"/>
              </w:rPr>
              <w:t>响应供应商</w:t>
            </w:r>
            <w:r>
              <w:rPr>
                <w:rFonts w:hint="eastAsia" w:ascii="宋体" w:hAnsi="宋体" w:eastAsia="宋体" w:cs="宋体"/>
                <w:sz w:val="24"/>
                <w:szCs w:val="24"/>
              </w:rPr>
              <w:t>提供的项目服务质量保证措施的全面性、可行性等进行</w:t>
            </w:r>
            <w:r>
              <w:rPr>
                <w:rFonts w:hint="eastAsia" w:ascii="宋体" w:hAnsi="宋体" w:eastAsia="宋体" w:cs="宋体"/>
                <w:sz w:val="24"/>
                <w:szCs w:val="24"/>
                <w:lang w:eastAsia="zh-CN"/>
              </w:rPr>
              <w:t>评审</w:t>
            </w:r>
            <w:r>
              <w:rPr>
                <w:rFonts w:hint="eastAsia" w:ascii="宋体" w:hAnsi="宋体" w:eastAsia="宋体" w:cs="宋体"/>
                <w:sz w:val="24"/>
                <w:szCs w:val="24"/>
              </w:rPr>
              <w:t xml:space="preserve">。 </w:t>
            </w:r>
          </w:p>
          <w:p w14:paraId="1B8E0EBC">
            <w:pPr>
              <w:pStyle w:val="7"/>
              <w:numPr>
                <w:ilvl w:val="0"/>
                <w:numId w:val="3"/>
              </w:numPr>
              <w:spacing w:line="240" w:lineRule="auto"/>
              <w:jc w:val="left"/>
              <w:rPr>
                <w:rFonts w:hint="eastAsia" w:ascii="宋体" w:hAnsi="宋体" w:eastAsia="宋体" w:cs="宋体"/>
                <w:sz w:val="24"/>
                <w:szCs w:val="24"/>
              </w:rPr>
            </w:pPr>
            <w:r>
              <w:rPr>
                <w:rFonts w:hint="eastAsia" w:ascii="宋体" w:hAnsi="宋体" w:eastAsia="宋体" w:cs="宋体"/>
                <w:sz w:val="24"/>
                <w:szCs w:val="24"/>
              </w:rPr>
              <w:t xml:space="preserve">服务质量保证措施完整，科学性、合理性、可执行性最强，描述清晰的，得10分； </w:t>
            </w:r>
          </w:p>
          <w:p w14:paraId="6515A5F6">
            <w:pPr>
              <w:pStyle w:val="7"/>
              <w:numPr>
                <w:ilvl w:val="0"/>
                <w:numId w:val="3"/>
              </w:numPr>
              <w:spacing w:line="240" w:lineRule="auto"/>
              <w:jc w:val="left"/>
              <w:rPr>
                <w:rFonts w:hint="eastAsia" w:ascii="宋体" w:hAnsi="宋体" w:eastAsia="宋体" w:cs="宋体"/>
                <w:sz w:val="24"/>
                <w:szCs w:val="24"/>
                <w:lang w:val="en-US" w:eastAsia="zh-CN"/>
              </w:rPr>
            </w:pPr>
            <w:r>
              <w:rPr>
                <w:rFonts w:hint="eastAsia" w:ascii="宋体" w:hAnsi="宋体" w:eastAsia="宋体" w:cs="宋体"/>
                <w:sz w:val="24"/>
                <w:szCs w:val="24"/>
              </w:rPr>
              <w:t xml:space="preserve">服务质量保证措施基本完整，科学性、合理性、可执行性较强，描述较为清晰的，得7分； </w:t>
            </w:r>
          </w:p>
          <w:p w14:paraId="6FF409F1">
            <w:pPr>
              <w:pStyle w:val="7"/>
              <w:numPr>
                <w:ilvl w:val="0"/>
                <w:numId w:val="3"/>
              </w:numPr>
              <w:spacing w:line="240" w:lineRule="auto"/>
              <w:jc w:val="left"/>
              <w:rPr>
                <w:rFonts w:hint="eastAsia" w:ascii="宋体" w:hAnsi="宋体" w:eastAsia="宋体" w:cs="宋体"/>
                <w:sz w:val="24"/>
                <w:szCs w:val="24"/>
                <w:lang w:val="en-US" w:eastAsia="zh-CN"/>
              </w:rPr>
            </w:pPr>
            <w:r>
              <w:rPr>
                <w:rFonts w:hint="eastAsia" w:ascii="宋体" w:hAnsi="宋体" w:eastAsia="宋体" w:cs="宋体"/>
                <w:sz w:val="24"/>
                <w:szCs w:val="24"/>
              </w:rPr>
              <w:t xml:space="preserve">服务质量保证措施不完整，科学性、合理性、可执行性较弱，描述不够清晰的，得4分； </w:t>
            </w:r>
          </w:p>
          <w:p w14:paraId="78CFF964">
            <w:pPr>
              <w:pStyle w:val="7"/>
              <w:numPr>
                <w:ilvl w:val="0"/>
                <w:numId w:val="3"/>
              </w:numPr>
              <w:spacing w:line="240" w:lineRule="auto"/>
              <w:jc w:val="left"/>
              <w:rPr>
                <w:rFonts w:hint="eastAsia" w:ascii="宋体" w:hAnsi="宋体" w:eastAsia="宋体" w:cs="宋体"/>
                <w:sz w:val="24"/>
                <w:szCs w:val="24"/>
                <w:lang w:val="en-US" w:eastAsia="zh-CN"/>
              </w:rPr>
            </w:pPr>
            <w:r>
              <w:rPr>
                <w:rFonts w:hint="eastAsia" w:ascii="宋体" w:hAnsi="宋体" w:eastAsia="宋体" w:cs="宋体"/>
                <w:sz w:val="24"/>
                <w:szCs w:val="24"/>
              </w:rPr>
              <w:t>服务质量保证措施科学性、合理性差，不可执行的，得2分； 无提供不得分。</w:t>
            </w:r>
          </w:p>
        </w:tc>
        <w:tc>
          <w:tcPr>
            <w:tcW w:w="491" w:type="pct"/>
            <w:vAlign w:val="center"/>
          </w:tcPr>
          <w:p w14:paraId="1FDC1371">
            <w:pPr>
              <w:snapToGrid w:val="0"/>
              <w:spacing w:line="264"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w:t>
            </w:r>
          </w:p>
        </w:tc>
        <w:tc>
          <w:tcPr>
            <w:tcW w:w="345" w:type="pct"/>
            <w:vAlign w:val="center"/>
          </w:tcPr>
          <w:p w14:paraId="2FD9381B">
            <w:pPr>
              <w:snapToGrid w:val="0"/>
              <w:spacing w:line="264" w:lineRule="auto"/>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w:t>
            </w:r>
          </w:p>
        </w:tc>
      </w:tr>
      <w:tr w14:paraId="654196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86" w:hRule="atLeast"/>
        </w:trPr>
        <w:tc>
          <w:tcPr>
            <w:tcW w:w="392" w:type="pct"/>
            <w:vAlign w:val="center"/>
          </w:tcPr>
          <w:p w14:paraId="5ED9F1B7">
            <w:pPr>
              <w:pStyle w:val="6"/>
              <w:numPr>
                <w:ilvl w:val="0"/>
                <w:numId w:val="1"/>
              </w:numPr>
              <w:snapToGrid w:val="0"/>
              <w:spacing w:line="264" w:lineRule="auto"/>
              <w:ind w:firstLineChars="0"/>
              <w:jc w:val="center"/>
              <w:rPr>
                <w:rFonts w:hint="eastAsia" w:ascii="宋体" w:hAnsi="宋体" w:eastAsia="宋体" w:cs="宋体"/>
                <w:color w:val="auto"/>
                <w:sz w:val="24"/>
                <w:szCs w:val="24"/>
              </w:rPr>
            </w:pPr>
          </w:p>
        </w:tc>
        <w:tc>
          <w:tcPr>
            <w:tcW w:w="590" w:type="pct"/>
            <w:shd w:val="clear" w:color="auto" w:fill="auto"/>
            <w:vAlign w:val="center"/>
          </w:tcPr>
          <w:p w14:paraId="08D89223">
            <w:pPr>
              <w:pStyle w:val="7"/>
              <w:jc w:val="center"/>
              <w:rPr>
                <w:rFonts w:hint="eastAsia" w:ascii="宋体" w:hAnsi="宋体" w:eastAsia="宋体" w:cs="宋体"/>
                <w:sz w:val="24"/>
                <w:szCs w:val="24"/>
                <w:lang w:val="en-US" w:eastAsia="zh-CN"/>
              </w:rPr>
            </w:pPr>
            <w:r>
              <w:rPr>
                <w:rFonts w:hint="eastAsia" w:ascii="宋体" w:hAnsi="宋体" w:eastAsia="宋体" w:cs="宋体"/>
                <w:sz w:val="24"/>
                <w:szCs w:val="24"/>
              </w:rPr>
              <w:t>应急处置预案 (8.0分)</w:t>
            </w:r>
          </w:p>
        </w:tc>
        <w:tc>
          <w:tcPr>
            <w:tcW w:w="3179" w:type="pct"/>
            <w:shd w:val="clear" w:color="auto" w:fill="auto"/>
            <w:vAlign w:val="top"/>
          </w:tcPr>
          <w:p w14:paraId="713501FA">
            <w:pPr>
              <w:pStyle w:val="7"/>
              <w:spacing w:line="240" w:lineRule="auto"/>
              <w:jc w:val="left"/>
              <w:rPr>
                <w:rFonts w:hint="eastAsia" w:ascii="宋体" w:hAnsi="宋体" w:eastAsia="宋体" w:cs="宋体"/>
                <w:sz w:val="24"/>
                <w:szCs w:val="24"/>
              </w:rPr>
            </w:pPr>
            <w:r>
              <w:rPr>
                <w:rFonts w:hint="eastAsia" w:ascii="宋体" w:hAnsi="宋体" w:eastAsia="宋体" w:cs="宋体"/>
                <w:sz w:val="24"/>
                <w:szCs w:val="24"/>
                <w:lang w:eastAsia="zh-CN"/>
              </w:rPr>
              <w:t>响应供应商</w:t>
            </w:r>
            <w:r>
              <w:rPr>
                <w:rFonts w:hint="eastAsia" w:ascii="宋体" w:hAnsi="宋体" w:eastAsia="宋体" w:cs="宋体"/>
                <w:sz w:val="24"/>
                <w:szCs w:val="24"/>
              </w:rPr>
              <w:t>针对突然或突发事件需建立完善的应急处理机制，评委会对</w:t>
            </w:r>
            <w:r>
              <w:rPr>
                <w:rFonts w:hint="eastAsia" w:ascii="宋体" w:hAnsi="宋体" w:eastAsia="宋体" w:cs="宋体"/>
                <w:sz w:val="24"/>
                <w:szCs w:val="24"/>
                <w:lang w:eastAsia="zh-CN"/>
              </w:rPr>
              <w:t>响应供应商</w:t>
            </w:r>
            <w:r>
              <w:rPr>
                <w:rFonts w:hint="eastAsia" w:ascii="宋体" w:hAnsi="宋体" w:eastAsia="宋体" w:cs="宋体"/>
                <w:sz w:val="24"/>
                <w:szCs w:val="24"/>
              </w:rPr>
              <w:t>制定的应急处置预案的针对性和可操作性情况进行</w:t>
            </w:r>
            <w:r>
              <w:rPr>
                <w:rFonts w:hint="eastAsia" w:ascii="宋体" w:hAnsi="宋体" w:eastAsia="宋体" w:cs="宋体"/>
                <w:sz w:val="24"/>
                <w:szCs w:val="24"/>
                <w:lang w:eastAsia="zh-CN"/>
              </w:rPr>
              <w:t>评审</w:t>
            </w:r>
            <w:r>
              <w:rPr>
                <w:rFonts w:hint="eastAsia" w:ascii="宋体" w:hAnsi="宋体" w:eastAsia="宋体" w:cs="宋体"/>
                <w:sz w:val="24"/>
                <w:szCs w:val="24"/>
              </w:rPr>
              <w:t xml:space="preserve">。 </w:t>
            </w:r>
          </w:p>
          <w:p w14:paraId="1E208411">
            <w:pPr>
              <w:pStyle w:val="7"/>
              <w:numPr>
                <w:ilvl w:val="0"/>
                <w:numId w:val="4"/>
              </w:numPr>
              <w:spacing w:line="240" w:lineRule="auto"/>
              <w:jc w:val="left"/>
              <w:rPr>
                <w:rFonts w:hint="eastAsia" w:ascii="宋体" w:hAnsi="宋体" w:eastAsia="宋体" w:cs="宋体"/>
                <w:sz w:val="24"/>
                <w:szCs w:val="24"/>
              </w:rPr>
            </w:pPr>
            <w:r>
              <w:rPr>
                <w:rFonts w:hint="eastAsia" w:ascii="宋体" w:hAnsi="宋体" w:eastAsia="宋体" w:cs="宋体"/>
                <w:sz w:val="24"/>
                <w:szCs w:val="24"/>
              </w:rPr>
              <w:t>应急处置预案完整，科学性、合理性、可执行性最强，描述清晰的，得8分；</w:t>
            </w:r>
          </w:p>
          <w:p w14:paraId="3C861CBD">
            <w:pPr>
              <w:pStyle w:val="7"/>
              <w:numPr>
                <w:ilvl w:val="0"/>
                <w:numId w:val="4"/>
              </w:numPr>
              <w:spacing w:line="240" w:lineRule="auto"/>
              <w:jc w:val="left"/>
              <w:rPr>
                <w:rFonts w:hint="eastAsia" w:ascii="宋体" w:hAnsi="宋体" w:eastAsia="宋体" w:cs="宋体"/>
                <w:sz w:val="24"/>
                <w:szCs w:val="24"/>
                <w:lang w:val="en-US" w:eastAsia="zh-CN"/>
              </w:rPr>
            </w:pPr>
            <w:r>
              <w:rPr>
                <w:rFonts w:hint="eastAsia" w:ascii="宋体" w:hAnsi="宋体" w:eastAsia="宋体" w:cs="宋体"/>
                <w:sz w:val="24"/>
                <w:szCs w:val="24"/>
              </w:rPr>
              <w:t xml:space="preserve">应急处置预案基本完整，科学性、合理性、可执行性较强，描述较为清晰的，得6分； </w:t>
            </w:r>
          </w:p>
          <w:p w14:paraId="5DE67DF2">
            <w:pPr>
              <w:pStyle w:val="7"/>
              <w:numPr>
                <w:ilvl w:val="0"/>
                <w:numId w:val="4"/>
              </w:numPr>
              <w:spacing w:line="240" w:lineRule="auto"/>
              <w:jc w:val="left"/>
              <w:rPr>
                <w:rFonts w:hint="eastAsia" w:ascii="宋体" w:hAnsi="宋体" w:eastAsia="宋体" w:cs="宋体"/>
                <w:sz w:val="24"/>
                <w:szCs w:val="24"/>
                <w:lang w:val="en-US" w:eastAsia="zh-CN"/>
              </w:rPr>
            </w:pPr>
            <w:r>
              <w:rPr>
                <w:rFonts w:hint="eastAsia" w:ascii="宋体" w:hAnsi="宋体" w:eastAsia="宋体" w:cs="宋体"/>
                <w:sz w:val="24"/>
                <w:szCs w:val="24"/>
              </w:rPr>
              <w:t xml:space="preserve">应急处置预案不完整，科学性、合理性、可执行性较弱，描述不够清晰的，得3分； </w:t>
            </w:r>
          </w:p>
          <w:p w14:paraId="2DBB0FE9">
            <w:pPr>
              <w:pStyle w:val="7"/>
              <w:numPr>
                <w:ilvl w:val="0"/>
                <w:numId w:val="4"/>
              </w:numPr>
              <w:spacing w:line="240" w:lineRule="auto"/>
              <w:jc w:val="left"/>
              <w:rPr>
                <w:rFonts w:hint="eastAsia" w:ascii="宋体" w:hAnsi="宋体" w:eastAsia="宋体" w:cs="宋体"/>
                <w:sz w:val="24"/>
                <w:szCs w:val="24"/>
                <w:lang w:val="en-US" w:eastAsia="zh-CN"/>
              </w:rPr>
            </w:pPr>
            <w:r>
              <w:rPr>
                <w:rFonts w:hint="eastAsia" w:ascii="宋体" w:hAnsi="宋体" w:eastAsia="宋体" w:cs="宋体"/>
                <w:sz w:val="24"/>
                <w:szCs w:val="24"/>
              </w:rPr>
              <w:t xml:space="preserve">应急处置预案科学性、合理性差，不可执行的，得1分； </w:t>
            </w:r>
          </w:p>
          <w:p w14:paraId="67C57E86">
            <w:pPr>
              <w:pStyle w:val="7"/>
              <w:numPr>
                <w:ilvl w:val="0"/>
                <w:numId w:val="0"/>
              </w:numPr>
              <w:spacing w:line="240" w:lineRule="auto"/>
              <w:jc w:val="left"/>
              <w:rPr>
                <w:rFonts w:hint="eastAsia" w:ascii="宋体" w:hAnsi="宋体" w:eastAsia="宋体" w:cs="宋体"/>
                <w:sz w:val="24"/>
                <w:szCs w:val="24"/>
                <w:lang w:val="en-US" w:eastAsia="zh-CN"/>
              </w:rPr>
            </w:pPr>
            <w:r>
              <w:rPr>
                <w:rFonts w:hint="eastAsia" w:ascii="宋体" w:hAnsi="宋体" w:eastAsia="宋体" w:cs="宋体"/>
                <w:sz w:val="24"/>
                <w:szCs w:val="24"/>
              </w:rPr>
              <w:t>无提供不得分。</w:t>
            </w:r>
          </w:p>
        </w:tc>
        <w:tc>
          <w:tcPr>
            <w:tcW w:w="491" w:type="pct"/>
            <w:vAlign w:val="center"/>
          </w:tcPr>
          <w:p w14:paraId="0318A59B">
            <w:pPr>
              <w:snapToGrid w:val="0"/>
              <w:spacing w:line="264"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w:t>
            </w:r>
          </w:p>
        </w:tc>
        <w:tc>
          <w:tcPr>
            <w:tcW w:w="345" w:type="pct"/>
            <w:vAlign w:val="center"/>
          </w:tcPr>
          <w:p w14:paraId="76F74329">
            <w:pPr>
              <w:snapToGrid w:val="0"/>
              <w:spacing w:line="264" w:lineRule="auto"/>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w:t>
            </w:r>
          </w:p>
        </w:tc>
      </w:tr>
      <w:tr w14:paraId="30CCC7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10" w:hRule="atLeast"/>
        </w:trPr>
        <w:tc>
          <w:tcPr>
            <w:tcW w:w="392" w:type="pct"/>
            <w:vAlign w:val="center"/>
          </w:tcPr>
          <w:p w14:paraId="3C66443F">
            <w:pPr>
              <w:pStyle w:val="6"/>
              <w:numPr>
                <w:ilvl w:val="0"/>
                <w:numId w:val="1"/>
              </w:numPr>
              <w:snapToGrid w:val="0"/>
              <w:spacing w:line="264" w:lineRule="auto"/>
              <w:ind w:firstLineChars="0"/>
              <w:jc w:val="center"/>
              <w:rPr>
                <w:rFonts w:hint="eastAsia" w:ascii="宋体" w:hAnsi="宋体" w:eastAsia="宋体" w:cs="宋体"/>
                <w:color w:val="auto"/>
                <w:sz w:val="24"/>
                <w:szCs w:val="24"/>
              </w:rPr>
            </w:pPr>
          </w:p>
        </w:tc>
        <w:tc>
          <w:tcPr>
            <w:tcW w:w="590" w:type="pct"/>
            <w:shd w:val="clear" w:color="auto" w:fill="auto"/>
            <w:vAlign w:val="center"/>
          </w:tcPr>
          <w:p w14:paraId="2C8EFD99">
            <w:pPr>
              <w:pStyle w:val="7"/>
              <w:jc w:val="center"/>
              <w:rPr>
                <w:rFonts w:hint="eastAsia" w:ascii="宋体" w:hAnsi="宋体" w:eastAsia="宋体" w:cs="宋体"/>
                <w:sz w:val="24"/>
                <w:szCs w:val="24"/>
                <w:lang w:val="en-US" w:eastAsia="zh-CN"/>
              </w:rPr>
            </w:pPr>
            <w:r>
              <w:rPr>
                <w:rFonts w:hint="eastAsia" w:ascii="宋体" w:hAnsi="宋体" w:eastAsia="宋体" w:cs="宋体"/>
                <w:sz w:val="24"/>
                <w:szCs w:val="24"/>
              </w:rPr>
              <w:t>售后服务方案 (8.0分)</w:t>
            </w:r>
          </w:p>
        </w:tc>
        <w:tc>
          <w:tcPr>
            <w:tcW w:w="3179" w:type="pct"/>
            <w:shd w:val="clear" w:color="auto" w:fill="auto"/>
            <w:vAlign w:val="top"/>
          </w:tcPr>
          <w:p w14:paraId="722D9481">
            <w:pPr>
              <w:pStyle w:val="7"/>
              <w:spacing w:line="240" w:lineRule="auto"/>
              <w:jc w:val="left"/>
              <w:rPr>
                <w:rFonts w:hint="eastAsia" w:ascii="宋体" w:hAnsi="宋体" w:eastAsia="宋体" w:cs="宋体"/>
                <w:sz w:val="24"/>
                <w:szCs w:val="24"/>
              </w:rPr>
            </w:pPr>
            <w:r>
              <w:rPr>
                <w:rFonts w:hint="eastAsia" w:ascii="宋体" w:hAnsi="宋体" w:eastAsia="宋体" w:cs="宋体"/>
                <w:sz w:val="24"/>
                <w:szCs w:val="24"/>
              </w:rPr>
              <w:t>评委会根据</w:t>
            </w:r>
            <w:r>
              <w:rPr>
                <w:rFonts w:hint="eastAsia" w:ascii="宋体" w:hAnsi="宋体" w:eastAsia="宋体" w:cs="宋体"/>
                <w:sz w:val="24"/>
                <w:szCs w:val="24"/>
                <w:lang w:eastAsia="zh-CN"/>
              </w:rPr>
              <w:t>响应供应商</w:t>
            </w:r>
            <w:r>
              <w:rPr>
                <w:rFonts w:hint="eastAsia" w:ascii="宋体" w:hAnsi="宋体" w:eastAsia="宋体" w:cs="宋体"/>
                <w:sz w:val="24"/>
                <w:szCs w:val="24"/>
              </w:rPr>
              <w:t>提供的售后服务方案（包括但不限于售后服务人员安排、服务方式、响应时间、项目出现问题后的解决方案等内容）进行</w:t>
            </w:r>
            <w:r>
              <w:rPr>
                <w:rFonts w:hint="eastAsia" w:ascii="宋体" w:hAnsi="宋体" w:eastAsia="宋体" w:cs="宋体"/>
                <w:sz w:val="24"/>
                <w:szCs w:val="24"/>
                <w:lang w:eastAsia="zh-CN"/>
              </w:rPr>
              <w:t>评审</w:t>
            </w:r>
            <w:r>
              <w:rPr>
                <w:rFonts w:hint="eastAsia" w:ascii="宋体" w:hAnsi="宋体" w:eastAsia="宋体" w:cs="宋体"/>
                <w:sz w:val="24"/>
                <w:szCs w:val="24"/>
              </w:rPr>
              <w:t xml:space="preserve">。 </w:t>
            </w:r>
          </w:p>
          <w:p w14:paraId="28FB461A">
            <w:pPr>
              <w:pStyle w:val="7"/>
              <w:numPr>
                <w:ilvl w:val="0"/>
                <w:numId w:val="5"/>
              </w:numPr>
              <w:spacing w:line="240" w:lineRule="auto"/>
              <w:jc w:val="left"/>
              <w:rPr>
                <w:rFonts w:hint="eastAsia" w:ascii="宋体" w:hAnsi="宋体" w:eastAsia="宋体" w:cs="宋体"/>
                <w:sz w:val="24"/>
                <w:szCs w:val="24"/>
              </w:rPr>
            </w:pPr>
            <w:r>
              <w:rPr>
                <w:rFonts w:hint="eastAsia" w:ascii="宋体" w:hAnsi="宋体" w:eastAsia="宋体" w:cs="宋体"/>
                <w:sz w:val="24"/>
                <w:szCs w:val="24"/>
              </w:rPr>
              <w:t>售后服务方案完整，科学性、合理性、可执行性最强，描述清晰的，得8分；</w:t>
            </w:r>
          </w:p>
          <w:p w14:paraId="49641886">
            <w:pPr>
              <w:pStyle w:val="7"/>
              <w:numPr>
                <w:ilvl w:val="0"/>
                <w:numId w:val="5"/>
              </w:numPr>
              <w:spacing w:line="240" w:lineRule="auto"/>
              <w:jc w:val="left"/>
              <w:rPr>
                <w:rFonts w:hint="eastAsia" w:ascii="宋体" w:hAnsi="宋体" w:eastAsia="宋体" w:cs="宋体"/>
                <w:sz w:val="24"/>
                <w:szCs w:val="24"/>
                <w:lang w:val="en-US" w:eastAsia="zh-CN"/>
              </w:rPr>
            </w:pPr>
            <w:r>
              <w:rPr>
                <w:rFonts w:hint="eastAsia" w:ascii="宋体" w:hAnsi="宋体" w:eastAsia="宋体" w:cs="宋体"/>
                <w:sz w:val="24"/>
                <w:szCs w:val="24"/>
              </w:rPr>
              <w:t>售后服务方案基本完整，科学性、合理性、可执行性较强，描述较为清晰的，得6分；</w:t>
            </w:r>
          </w:p>
          <w:p w14:paraId="4B5984F0">
            <w:pPr>
              <w:pStyle w:val="7"/>
              <w:numPr>
                <w:ilvl w:val="0"/>
                <w:numId w:val="5"/>
              </w:numPr>
              <w:spacing w:line="240" w:lineRule="auto"/>
              <w:jc w:val="left"/>
              <w:rPr>
                <w:rFonts w:hint="eastAsia" w:ascii="宋体" w:hAnsi="宋体" w:eastAsia="宋体" w:cs="宋体"/>
                <w:sz w:val="24"/>
                <w:szCs w:val="24"/>
                <w:lang w:val="en-US" w:eastAsia="zh-CN"/>
              </w:rPr>
            </w:pPr>
            <w:r>
              <w:rPr>
                <w:rFonts w:hint="eastAsia" w:ascii="宋体" w:hAnsi="宋体" w:eastAsia="宋体" w:cs="宋体"/>
                <w:sz w:val="24"/>
                <w:szCs w:val="24"/>
              </w:rPr>
              <w:t xml:space="preserve">售后服务方案不完整，科学性、合理性、可执行性较弱，描述不够清晰的，得3分； </w:t>
            </w:r>
          </w:p>
          <w:p w14:paraId="0948BDCC">
            <w:pPr>
              <w:pStyle w:val="7"/>
              <w:numPr>
                <w:ilvl w:val="0"/>
                <w:numId w:val="5"/>
              </w:numPr>
              <w:spacing w:line="240" w:lineRule="auto"/>
              <w:jc w:val="left"/>
              <w:rPr>
                <w:rFonts w:hint="eastAsia" w:ascii="宋体" w:hAnsi="宋体" w:eastAsia="宋体" w:cs="宋体"/>
                <w:sz w:val="24"/>
                <w:szCs w:val="24"/>
                <w:lang w:val="en-US" w:eastAsia="zh-CN"/>
              </w:rPr>
            </w:pPr>
            <w:r>
              <w:rPr>
                <w:rFonts w:hint="eastAsia" w:ascii="宋体" w:hAnsi="宋体" w:eastAsia="宋体" w:cs="宋体"/>
                <w:sz w:val="24"/>
                <w:szCs w:val="24"/>
              </w:rPr>
              <w:t>售后服务方案科学性、合理性差，不可执行的，得1分；</w:t>
            </w:r>
          </w:p>
          <w:p w14:paraId="6E0BFC1D">
            <w:pPr>
              <w:pStyle w:val="7"/>
              <w:numPr>
                <w:ilvl w:val="0"/>
                <w:numId w:val="0"/>
              </w:numPr>
              <w:spacing w:line="24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不提供不得分</w:t>
            </w:r>
          </w:p>
        </w:tc>
        <w:tc>
          <w:tcPr>
            <w:tcW w:w="491" w:type="pct"/>
            <w:vAlign w:val="center"/>
          </w:tcPr>
          <w:p w14:paraId="49D0E1A0">
            <w:pPr>
              <w:snapToGrid w:val="0"/>
              <w:spacing w:line="264"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w:t>
            </w:r>
          </w:p>
        </w:tc>
        <w:tc>
          <w:tcPr>
            <w:tcW w:w="345" w:type="pct"/>
            <w:vAlign w:val="center"/>
          </w:tcPr>
          <w:p w14:paraId="0C0CFEBF">
            <w:pPr>
              <w:snapToGrid w:val="0"/>
              <w:spacing w:line="264" w:lineRule="auto"/>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w:t>
            </w:r>
          </w:p>
        </w:tc>
      </w:tr>
      <w:tr w14:paraId="53BF07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18" w:hRule="atLeast"/>
        </w:trPr>
        <w:tc>
          <w:tcPr>
            <w:tcW w:w="392" w:type="pct"/>
            <w:vAlign w:val="center"/>
          </w:tcPr>
          <w:p w14:paraId="64A40458">
            <w:pPr>
              <w:pStyle w:val="6"/>
              <w:numPr>
                <w:ilvl w:val="0"/>
                <w:numId w:val="1"/>
              </w:numPr>
              <w:snapToGrid w:val="0"/>
              <w:spacing w:line="264" w:lineRule="auto"/>
              <w:ind w:firstLineChars="0"/>
              <w:jc w:val="center"/>
              <w:rPr>
                <w:rFonts w:hint="eastAsia" w:ascii="宋体" w:hAnsi="宋体" w:eastAsia="宋体" w:cs="宋体"/>
                <w:color w:val="auto"/>
                <w:sz w:val="24"/>
                <w:szCs w:val="24"/>
              </w:rPr>
            </w:pPr>
          </w:p>
        </w:tc>
        <w:tc>
          <w:tcPr>
            <w:tcW w:w="590" w:type="pct"/>
            <w:shd w:val="clear" w:color="auto" w:fill="auto"/>
            <w:vAlign w:val="center"/>
          </w:tcPr>
          <w:p w14:paraId="534608DA">
            <w:pPr>
              <w:pStyle w:val="7"/>
              <w:jc w:val="center"/>
              <w:rPr>
                <w:rFonts w:hint="eastAsia" w:ascii="宋体" w:hAnsi="宋体" w:eastAsia="宋体" w:cs="宋体"/>
                <w:sz w:val="24"/>
                <w:szCs w:val="24"/>
                <w:lang w:val="en-US" w:eastAsia="zh-CN"/>
              </w:rPr>
            </w:pPr>
            <w:r>
              <w:rPr>
                <w:rFonts w:hint="eastAsia" w:ascii="宋体" w:hAnsi="宋体" w:eastAsia="宋体" w:cs="宋体"/>
                <w:sz w:val="24"/>
                <w:szCs w:val="24"/>
              </w:rPr>
              <w:t>企业经营管理规章制度情况 (10.0分)</w:t>
            </w:r>
          </w:p>
        </w:tc>
        <w:tc>
          <w:tcPr>
            <w:tcW w:w="3179" w:type="pct"/>
            <w:shd w:val="clear" w:color="auto" w:fill="auto"/>
            <w:vAlign w:val="top"/>
          </w:tcPr>
          <w:p w14:paraId="5F349D3E">
            <w:pPr>
              <w:pStyle w:val="7"/>
              <w:spacing w:line="240" w:lineRule="auto"/>
              <w:jc w:val="left"/>
              <w:rPr>
                <w:rFonts w:hint="eastAsia" w:ascii="宋体" w:hAnsi="宋体" w:eastAsia="宋体" w:cs="宋体"/>
                <w:sz w:val="24"/>
                <w:szCs w:val="24"/>
              </w:rPr>
            </w:pPr>
            <w:r>
              <w:rPr>
                <w:rFonts w:hint="eastAsia" w:ascii="宋体" w:hAnsi="宋体" w:eastAsia="宋体" w:cs="宋体"/>
                <w:sz w:val="24"/>
                <w:szCs w:val="24"/>
              </w:rPr>
              <w:t>评委会对比</w:t>
            </w:r>
            <w:r>
              <w:rPr>
                <w:rFonts w:hint="eastAsia" w:ascii="宋体" w:hAnsi="宋体" w:eastAsia="宋体" w:cs="宋体"/>
                <w:sz w:val="24"/>
                <w:szCs w:val="24"/>
                <w:lang w:eastAsia="zh-CN"/>
              </w:rPr>
              <w:t>响应供应商</w:t>
            </w:r>
            <w:r>
              <w:rPr>
                <w:rFonts w:hint="eastAsia" w:ascii="宋体" w:hAnsi="宋体" w:eastAsia="宋体" w:cs="宋体"/>
                <w:sz w:val="24"/>
                <w:szCs w:val="24"/>
              </w:rPr>
              <w:t>的技术档案管理、内部质量控制、财务管理等企业经营管理规章制度情况进行</w:t>
            </w:r>
            <w:r>
              <w:rPr>
                <w:rFonts w:hint="eastAsia" w:ascii="宋体" w:hAnsi="宋体" w:eastAsia="宋体" w:cs="宋体"/>
                <w:sz w:val="24"/>
                <w:szCs w:val="24"/>
                <w:lang w:eastAsia="zh-CN"/>
              </w:rPr>
              <w:t>评审</w:t>
            </w:r>
            <w:r>
              <w:rPr>
                <w:rFonts w:hint="eastAsia" w:ascii="宋体" w:hAnsi="宋体" w:eastAsia="宋体" w:cs="宋体"/>
                <w:sz w:val="24"/>
                <w:szCs w:val="24"/>
              </w:rPr>
              <w:t xml:space="preserve">。 </w:t>
            </w:r>
          </w:p>
          <w:p w14:paraId="6D462D57">
            <w:pPr>
              <w:pStyle w:val="7"/>
              <w:numPr>
                <w:ilvl w:val="0"/>
                <w:numId w:val="6"/>
              </w:numPr>
              <w:spacing w:line="240" w:lineRule="auto"/>
              <w:jc w:val="left"/>
              <w:rPr>
                <w:rFonts w:hint="eastAsia" w:ascii="宋体" w:hAnsi="宋体" w:eastAsia="宋体" w:cs="宋体"/>
                <w:sz w:val="24"/>
                <w:szCs w:val="24"/>
              </w:rPr>
            </w:pPr>
            <w:r>
              <w:rPr>
                <w:rFonts w:hint="eastAsia" w:ascii="宋体" w:hAnsi="宋体" w:eastAsia="宋体" w:cs="宋体"/>
                <w:sz w:val="24"/>
                <w:szCs w:val="24"/>
              </w:rPr>
              <w:t xml:space="preserve">企业经营管理规章制度完整，科学性、合理性、可执行性最强，描述清晰的，得10分； </w:t>
            </w:r>
          </w:p>
          <w:p w14:paraId="3EDC824D">
            <w:pPr>
              <w:pStyle w:val="7"/>
              <w:numPr>
                <w:ilvl w:val="0"/>
                <w:numId w:val="6"/>
              </w:numPr>
              <w:spacing w:line="240" w:lineRule="auto"/>
              <w:jc w:val="left"/>
              <w:rPr>
                <w:rFonts w:hint="eastAsia" w:ascii="宋体" w:hAnsi="宋体" w:eastAsia="宋体" w:cs="宋体"/>
                <w:sz w:val="24"/>
                <w:szCs w:val="24"/>
                <w:lang w:val="en-US" w:eastAsia="zh-CN"/>
              </w:rPr>
            </w:pPr>
            <w:r>
              <w:rPr>
                <w:rFonts w:hint="eastAsia" w:ascii="宋体" w:hAnsi="宋体" w:eastAsia="宋体" w:cs="宋体"/>
                <w:sz w:val="24"/>
                <w:szCs w:val="24"/>
              </w:rPr>
              <w:t>企业经营管理规章制度基本完整，科学性、合理性、可执行性较强，描述较为清晰的，得7分；</w:t>
            </w:r>
          </w:p>
          <w:p w14:paraId="5AA51F84">
            <w:pPr>
              <w:pStyle w:val="7"/>
              <w:numPr>
                <w:ilvl w:val="0"/>
                <w:numId w:val="6"/>
              </w:numPr>
              <w:spacing w:line="240" w:lineRule="auto"/>
              <w:jc w:val="left"/>
              <w:rPr>
                <w:rFonts w:hint="eastAsia" w:ascii="宋体" w:hAnsi="宋体" w:eastAsia="宋体" w:cs="宋体"/>
                <w:sz w:val="24"/>
                <w:szCs w:val="24"/>
                <w:lang w:val="en-US" w:eastAsia="zh-CN"/>
              </w:rPr>
            </w:pPr>
            <w:r>
              <w:rPr>
                <w:rFonts w:hint="eastAsia" w:ascii="宋体" w:hAnsi="宋体" w:eastAsia="宋体" w:cs="宋体"/>
                <w:sz w:val="24"/>
                <w:szCs w:val="24"/>
              </w:rPr>
              <w:t>企业经营管理规章制度不完整，科学性、合理性、可执行性较弱，描述不够清晰的，得4分</w:t>
            </w:r>
          </w:p>
          <w:p w14:paraId="6047B2D6">
            <w:pPr>
              <w:pStyle w:val="7"/>
              <w:numPr>
                <w:ilvl w:val="0"/>
                <w:numId w:val="6"/>
              </w:numPr>
              <w:spacing w:line="240" w:lineRule="auto"/>
              <w:jc w:val="left"/>
              <w:rPr>
                <w:rFonts w:hint="eastAsia" w:ascii="宋体" w:hAnsi="宋体" w:eastAsia="宋体" w:cs="宋体"/>
                <w:sz w:val="24"/>
                <w:szCs w:val="24"/>
                <w:lang w:val="en-US" w:eastAsia="zh-CN"/>
              </w:rPr>
            </w:pPr>
            <w:r>
              <w:rPr>
                <w:rFonts w:hint="eastAsia" w:ascii="宋体" w:hAnsi="宋体" w:eastAsia="宋体" w:cs="宋体"/>
                <w:sz w:val="24"/>
                <w:szCs w:val="24"/>
              </w:rPr>
              <w:t xml:space="preserve">企业经营管理规章制度科学性、合理性差，不可执行的，得2分； </w:t>
            </w:r>
          </w:p>
          <w:p w14:paraId="792B7284">
            <w:pPr>
              <w:pStyle w:val="7"/>
              <w:numPr>
                <w:ilvl w:val="0"/>
                <w:numId w:val="0"/>
              </w:numPr>
              <w:spacing w:line="240" w:lineRule="auto"/>
              <w:jc w:val="left"/>
              <w:rPr>
                <w:rFonts w:hint="eastAsia" w:ascii="宋体" w:hAnsi="宋体" w:eastAsia="宋体" w:cs="宋体"/>
                <w:sz w:val="24"/>
                <w:szCs w:val="24"/>
                <w:lang w:val="en-US" w:eastAsia="zh-CN"/>
              </w:rPr>
            </w:pPr>
            <w:r>
              <w:rPr>
                <w:rFonts w:hint="eastAsia" w:ascii="宋体" w:hAnsi="宋体" w:eastAsia="宋体" w:cs="宋体"/>
                <w:sz w:val="24"/>
                <w:szCs w:val="24"/>
              </w:rPr>
              <w:t>无提供不得分。</w:t>
            </w:r>
          </w:p>
        </w:tc>
        <w:tc>
          <w:tcPr>
            <w:tcW w:w="491" w:type="pct"/>
            <w:vAlign w:val="center"/>
          </w:tcPr>
          <w:p w14:paraId="7421503E">
            <w:pPr>
              <w:snapToGrid w:val="0"/>
              <w:spacing w:line="264"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w:t>
            </w:r>
          </w:p>
        </w:tc>
        <w:tc>
          <w:tcPr>
            <w:tcW w:w="345" w:type="pct"/>
            <w:vAlign w:val="center"/>
          </w:tcPr>
          <w:p w14:paraId="55EC9182">
            <w:pPr>
              <w:snapToGrid w:val="0"/>
              <w:spacing w:line="264" w:lineRule="auto"/>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w:t>
            </w:r>
          </w:p>
        </w:tc>
      </w:tr>
      <w:bookmarkEnd w:id="2"/>
      <w:bookmarkEnd w:id="3"/>
      <w:bookmarkEnd w:id="4"/>
      <w:bookmarkEnd w:id="5"/>
      <w:bookmarkEnd w:id="6"/>
      <w:tr w14:paraId="144DA4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5" w:hRule="atLeast"/>
        </w:trPr>
        <w:tc>
          <w:tcPr>
            <w:tcW w:w="392" w:type="pct"/>
            <w:vAlign w:val="center"/>
          </w:tcPr>
          <w:p w14:paraId="7D112E45">
            <w:pPr>
              <w:snapToGrid w:val="0"/>
              <w:spacing w:line="264"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二</w:t>
            </w:r>
          </w:p>
        </w:tc>
        <w:tc>
          <w:tcPr>
            <w:tcW w:w="4607" w:type="pct"/>
            <w:gridSpan w:val="4"/>
            <w:vAlign w:val="center"/>
          </w:tcPr>
          <w:p w14:paraId="0DAC0BA5">
            <w:pPr>
              <w:snapToGrid w:val="0"/>
              <w:spacing w:line="240" w:lineRule="auto"/>
              <w:ind w:left="-78" w:leftChars="-37" w:right="-73" w:rightChars="-35"/>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商务部分（合计</w:t>
            </w:r>
            <w:r>
              <w:rPr>
                <w:rFonts w:hint="eastAsia" w:ascii="宋体" w:hAnsi="宋体" w:cs="宋体"/>
                <w:b/>
                <w:color w:val="auto"/>
                <w:sz w:val="24"/>
                <w:szCs w:val="24"/>
                <w:lang w:val="en-US" w:eastAsia="zh-CN"/>
              </w:rPr>
              <w:t>30</w:t>
            </w:r>
            <w:r>
              <w:rPr>
                <w:rFonts w:hint="eastAsia" w:ascii="宋体" w:hAnsi="宋体" w:eastAsia="宋体" w:cs="宋体"/>
                <w:b/>
                <w:color w:val="auto"/>
                <w:sz w:val="24"/>
                <w:szCs w:val="24"/>
              </w:rPr>
              <w:t xml:space="preserve">分） </w:t>
            </w:r>
          </w:p>
        </w:tc>
      </w:tr>
      <w:tr w14:paraId="5CB671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52" w:hRule="atLeast"/>
        </w:trPr>
        <w:tc>
          <w:tcPr>
            <w:tcW w:w="392" w:type="pct"/>
            <w:vAlign w:val="center"/>
          </w:tcPr>
          <w:p w14:paraId="3107F60A">
            <w:pPr>
              <w:pStyle w:val="6"/>
              <w:numPr>
                <w:ilvl w:val="0"/>
                <w:numId w:val="7"/>
              </w:numPr>
              <w:snapToGrid w:val="0"/>
              <w:spacing w:line="264" w:lineRule="auto"/>
              <w:ind w:firstLineChars="0"/>
              <w:jc w:val="center"/>
              <w:rPr>
                <w:rFonts w:hint="eastAsia" w:ascii="宋体" w:hAnsi="宋体" w:eastAsia="宋体" w:cs="宋体"/>
                <w:color w:val="auto"/>
                <w:sz w:val="24"/>
                <w:szCs w:val="24"/>
              </w:rPr>
            </w:pPr>
            <w:bookmarkStart w:id="7" w:name="回填数据_商务评分_标准分值_1" w:colFirst="3" w:colLast="3"/>
            <w:bookmarkStart w:id="8" w:name="回填数据_商务评分_评审规则_1" w:colFirst="2" w:colLast="2"/>
            <w:bookmarkStart w:id="9" w:name="回填数据_商务评分_权重_1" w:colFirst="4" w:colLast="4"/>
            <w:bookmarkStart w:id="10" w:name="回填数据_商务评分_评审项目_1" w:colFirst="1" w:colLast="1"/>
            <w:bookmarkStart w:id="11" w:name="回填数据_商务评分_序号_自动生成_1" w:colFirst="0" w:colLast="0"/>
          </w:p>
        </w:tc>
        <w:tc>
          <w:tcPr>
            <w:tcW w:w="590" w:type="pct"/>
            <w:shd w:val="clear" w:color="auto" w:fill="auto"/>
            <w:vAlign w:val="center"/>
          </w:tcPr>
          <w:p w14:paraId="7A97F7DF">
            <w:pPr>
              <w:jc w:val="center"/>
              <w:rPr>
                <w:rFonts w:hint="eastAsia" w:ascii="宋体" w:hAnsi="宋体" w:eastAsia="宋体" w:cs="宋体"/>
                <w:sz w:val="24"/>
                <w:szCs w:val="24"/>
                <w:lang w:val="en-US" w:eastAsia="zh-Hans"/>
              </w:rPr>
            </w:pPr>
            <w:r>
              <w:rPr>
                <w:rFonts w:hint="eastAsia" w:ascii="宋体" w:hAnsi="宋体" w:eastAsia="宋体" w:cs="宋体"/>
                <w:sz w:val="24"/>
                <w:szCs w:val="24"/>
              </w:rPr>
              <w:t>企业资信 (</w:t>
            </w:r>
            <w:r>
              <w:rPr>
                <w:rFonts w:hint="eastAsia" w:ascii="宋体" w:hAnsi="宋体" w:eastAsia="宋体" w:cs="宋体"/>
                <w:sz w:val="24"/>
                <w:szCs w:val="24"/>
                <w:lang w:val="en-US" w:eastAsia="zh-CN"/>
              </w:rPr>
              <w:t>3</w:t>
            </w:r>
            <w:r>
              <w:rPr>
                <w:rFonts w:hint="eastAsia" w:ascii="宋体" w:hAnsi="宋体" w:eastAsia="宋体" w:cs="宋体"/>
                <w:sz w:val="24"/>
                <w:szCs w:val="24"/>
              </w:rPr>
              <w:t>.0分)</w:t>
            </w:r>
          </w:p>
        </w:tc>
        <w:tc>
          <w:tcPr>
            <w:tcW w:w="3179" w:type="pct"/>
            <w:shd w:val="clear" w:color="auto" w:fill="auto"/>
            <w:vAlign w:val="top"/>
          </w:tcPr>
          <w:p w14:paraId="78E849B1">
            <w:pPr>
              <w:spacing w:line="240" w:lineRule="auto"/>
              <w:jc w:val="left"/>
              <w:rPr>
                <w:rFonts w:hint="eastAsia" w:ascii="宋体" w:hAnsi="宋体" w:eastAsia="宋体" w:cs="宋体"/>
                <w:sz w:val="24"/>
                <w:szCs w:val="24"/>
              </w:rPr>
            </w:pPr>
            <w:r>
              <w:rPr>
                <w:rFonts w:hint="eastAsia" w:ascii="宋体" w:hAnsi="宋体" w:eastAsia="宋体" w:cs="宋体"/>
                <w:sz w:val="24"/>
                <w:szCs w:val="24"/>
              </w:rPr>
              <w:t>投标人同时具备有效期内的质量管理体系认证证书、环境管理体系认证证书、职业健康安全管理体系认证证书、</w:t>
            </w:r>
            <w:r>
              <w:rPr>
                <w:rFonts w:hint="eastAsia" w:ascii="宋体" w:hAnsi="宋体" w:eastAsia="宋体" w:cs="宋体"/>
                <w:sz w:val="24"/>
                <w:szCs w:val="24"/>
                <w:lang w:val="en-US" w:eastAsia="zh-CN"/>
              </w:rPr>
              <w:t>每提供一个得1分，本小项最高分3</w:t>
            </w:r>
            <w:r>
              <w:rPr>
                <w:rFonts w:hint="eastAsia" w:ascii="宋体" w:hAnsi="宋体" w:eastAsia="宋体" w:cs="宋体"/>
                <w:sz w:val="24"/>
                <w:szCs w:val="24"/>
              </w:rPr>
              <w:t>分。</w:t>
            </w:r>
          </w:p>
          <w:p w14:paraId="48092580">
            <w:pPr>
              <w:spacing w:line="240" w:lineRule="auto"/>
              <w:jc w:val="left"/>
              <w:rPr>
                <w:rFonts w:hint="eastAsia" w:ascii="宋体" w:hAnsi="宋体" w:eastAsia="宋体" w:cs="宋体"/>
                <w:sz w:val="24"/>
                <w:szCs w:val="24"/>
                <w:lang w:val="en-US" w:eastAsia="zh-Hans"/>
              </w:rPr>
            </w:pPr>
            <w:r>
              <w:rPr>
                <w:rFonts w:hint="eastAsia" w:ascii="宋体" w:hAnsi="宋体" w:eastAsia="宋体" w:cs="宋体"/>
                <w:sz w:val="24"/>
                <w:szCs w:val="24"/>
              </w:rPr>
              <w:t>注：提供上述证书复印件加盖投标人公章以及招标公告发布时间后在国家认证认可监督管理委员会官方网 （http://cx.cnca.cn/CertECloud/result/skipResultList?certItemOne=A）查询的认证结果截图加盖投标人公章，否则不得分。</w:t>
            </w:r>
          </w:p>
        </w:tc>
        <w:tc>
          <w:tcPr>
            <w:tcW w:w="491" w:type="pct"/>
            <w:vAlign w:val="center"/>
          </w:tcPr>
          <w:p w14:paraId="353AE7FB">
            <w:pPr>
              <w:snapToGrid w:val="0"/>
              <w:spacing w:line="264" w:lineRule="auto"/>
              <w:ind w:left="-63" w:leftChars="-30" w:right="-88" w:rightChars="-42"/>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p>
        </w:tc>
        <w:tc>
          <w:tcPr>
            <w:tcW w:w="345" w:type="pct"/>
            <w:vAlign w:val="center"/>
          </w:tcPr>
          <w:p w14:paraId="46074B64">
            <w:pPr>
              <w:snapToGrid w:val="0"/>
              <w:spacing w:line="264" w:lineRule="auto"/>
              <w:ind w:left="-78" w:leftChars="-37" w:right="-73" w:rightChars="-35"/>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p>
        </w:tc>
      </w:tr>
      <w:tr w14:paraId="494052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55" w:hRule="atLeast"/>
        </w:trPr>
        <w:tc>
          <w:tcPr>
            <w:tcW w:w="392" w:type="pct"/>
            <w:vAlign w:val="center"/>
          </w:tcPr>
          <w:p w14:paraId="298D73E5">
            <w:pPr>
              <w:pStyle w:val="6"/>
              <w:numPr>
                <w:ilvl w:val="0"/>
                <w:numId w:val="7"/>
              </w:numPr>
              <w:snapToGrid w:val="0"/>
              <w:spacing w:line="264" w:lineRule="auto"/>
              <w:ind w:firstLineChars="0"/>
              <w:jc w:val="center"/>
              <w:rPr>
                <w:rFonts w:hint="eastAsia" w:ascii="宋体" w:hAnsi="宋体" w:eastAsia="宋体" w:cs="宋体"/>
                <w:color w:val="auto"/>
                <w:sz w:val="24"/>
                <w:szCs w:val="24"/>
              </w:rPr>
            </w:pPr>
          </w:p>
        </w:tc>
        <w:tc>
          <w:tcPr>
            <w:tcW w:w="590" w:type="pct"/>
            <w:shd w:val="clear" w:color="auto" w:fill="auto"/>
            <w:vAlign w:val="center"/>
          </w:tcPr>
          <w:p w14:paraId="418187D5">
            <w:pPr>
              <w:pStyle w:val="7"/>
              <w:jc w:val="center"/>
              <w:rPr>
                <w:rFonts w:hint="eastAsia" w:ascii="宋体" w:hAnsi="宋体" w:eastAsia="宋体" w:cs="宋体"/>
                <w:sz w:val="24"/>
                <w:szCs w:val="24"/>
                <w:lang w:val="en-US" w:eastAsia="zh-Hans"/>
              </w:rPr>
            </w:pPr>
            <w:r>
              <w:rPr>
                <w:rFonts w:hint="eastAsia" w:ascii="宋体" w:hAnsi="宋体" w:eastAsia="宋体" w:cs="宋体"/>
                <w:sz w:val="24"/>
                <w:szCs w:val="24"/>
              </w:rPr>
              <w:t>同类业绩情况 (</w:t>
            </w:r>
            <w:r>
              <w:rPr>
                <w:rFonts w:hint="eastAsia" w:ascii="宋体" w:hAnsi="宋体" w:eastAsia="宋体" w:cs="宋体"/>
                <w:sz w:val="24"/>
                <w:szCs w:val="24"/>
                <w:lang w:val="en-US" w:eastAsia="zh-CN"/>
              </w:rPr>
              <w:t>9</w:t>
            </w:r>
            <w:r>
              <w:rPr>
                <w:rFonts w:hint="eastAsia" w:ascii="宋体" w:hAnsi="宋体" w:eastAsia="宋体" w:cs="宋体"/>
                <w:sz w:val="24"/>
                <w:szCs w:val="24"/>
              </w:rPr>
              <w:t>.0分)</w:t>
            </w:r>
          </w:p>
        </w:tc>
        <w:tc>
          <w:tcPr>
            <w:tcW w:w="3179" w:type="pct"/>
            <w:shd w:val="clear" w:color="auto" w:fill="auto"/>
            <w:vAlign w:val="top"/>
          </w:tcPr>
          <w:p w14:paraId="0448D409">
            <w:pPr>
              <w:pStyle w:val="7"/>
              <w:spacing w:line="240" w:lineRule="auto"/>
              <w:jc w:val="left"/>
              <w:rPr>
                <w:rFonts w:hint="eastAsia" w:ascii="宋体" w:hAnsi="宋体" w:eastAsia="宋体" w:cs="宋体"/>
                <w:sz w:val="24"/>
                <w:szCs w:val="24"/>
              </w:rPr>
            </w:pPr>
            <w:r>
              <w:rPr>
                <w:rFonts w:hint="eastAsia" w:ascii="宋体" w:hAnsi="宋体" w:eastAsia="宋体" w:cs="宋体"/>
                <w:sz w:val="24"/>
                <w:szCs w:val="24"/>
                <w:lang w:eastAsia="zh-CN"/>
              </w:rPr>
              <w:t>响应供应商</w:t>
            </w:r>
            <w:r>
              <w:rPr>
                <w:rFonts w:hint="eastAsia" w:ascii="宋体" w:hAnsi="宋体" w:eastAsia="宋体" w:cs="宋体"/>
                <w:sz w:val="24"/>
                <w:szCs w:val="24"/>
              </w:rPr>
              <w:t>在</w:t>
            </w:r>
            <w:r>
              <w:rPr>
                <w:rFonts w:hint="eastAsia" w:ascii="宋体" w:hAnsi="宋体" w:eastAsia="宋体" w:cs="宋体"/>
                <w:sz w:val="24"/>
                <w:szCs w:val="24"/>
                <w:lang w:eastAsia="zh-CN"/>
              </w:rPr>
              <w:t>响应文件</w:t>
            </w:r>
            <w:r>
              <w:rPr>
                <w:rFonts w:hint="eastAsia" w:ascii="宋体" w:hAnsi="宋体" w:eastAsia="宋体" w:cs="宋体"/>
                <w:sz w:val="24"/>
                <w:szCs w:val="24"/>
              </w:rPr>
              <w:t>提供自</w:t>
            </w:r>
            <w:r>
              <w:rPr>
                <w:rFonts w:hint="eastAsia" w:ascii="宋体" w:hAnsi="宋体" w:eastAsia="宋体" w:cs="宋体"/>
                <w:sz w:val="24"/>
                <w:szCs w:val="24"/>
                <w:lang w:val="en-US" w:eastAsia="zh-CN"/>
              </w:rPr>
              <w:t>2021</w:t>
            </w:r>
            <w:r>
              <w:rPr>
                <w:rFonts w:hint="eastAsia" w:ascii="宋体" w:hAnsi="宋体" w:eastAsia="宋体" w:cs="宋体"/>
                <w:sz w:val="24"/>
                <w:szCs w:val="24"/>
              </w:rPr>
              <w:t>年1月1日至今同类业绩证明。</w:t>
            </w:r>
          </w:p>
          <w:p w14:paraId="6920B1FA">
            <w:pPr>
              <w:pStyle w:val="7"/>
              <w:spacing w:line="240" w:lineRule="auto"/>
              <w:jc w:val="left"/>
              <w:rPr>
                <w:rFonts w:hint="eastAsia" w:ascii="宋体" w:hAnsi="宋体" w:eastAsia="宋体" w:cs="宋体"/>
                <w:sz w:val="24"/>
                <w:szCs w:val="24"/>
              </w:rPr>
            </w:pPr>
            <w:r>
              <w:rPr>
                <w:rFonts w:hint="eastAsia" w:ascii="宋体" w:hAnsi="宋体" w:eastAsia="宋体" w:cs="宋体"/>
                <w:sz w:val="24"/>
                <w:szCs w:val="24"/>
              </w:rPr>
              <w:t>每提供一项业绩证明得</w:t>
            </w:r>
            <w:r>
              <w:rPr>
                <w:rFonts w:hint="eastAsia" w:ascii="宋体" w:hAnsi="宋体" w:eastAsia="宋体" w:cs="宋体"/>
                <w:sz w:val="24"/>
                <w:szCs w:val="24"/>
                <w:lang w:val="en-US" w:eastAsia="zh-CN"/>
              </w:rPr>
              <w:t>1.5</w:t>
            </w:r>
            <w:r>
              <w:rPr>
                <w:rFonts w:hint="eastAsia" w:ascii="宋体" w:hAnsi="宋体" w:eastAsia="宋体" w:cs="宋体"/>
                <w:sz w:val="24"/>
                <w:szCs w:val="24"/>
              </w:rPr>
              <w:t>分，本项最高得</w:t>
            </w:r>
            <w:r>
              <w:rPr>
                <w:rFonts w:hint="eastAsia" w:ascii="宋体" w:hAnsi="宋体" w:eastAsia="宋体" w:cs="宋体"/>
                <w:sz w:val="24"/>
                <w:szCs w:val="24"/>
                <w:lang w:val="en-US" w:eastAsia="zh-CN"/>
              </w:rPr>
              <w:t>9</w:t>
            </w:r>
            <w:r>
              <w:rPr>
                <w:rFonts w:hint="eastAsia" w:ascii="宋体" w:hAnsi="宋体" w:eastAsia="宋体" w:cs="宋体"/>
                <w:sz w:val="24"/>
                <w:szCs w:val="24"/>
              </w:rPr>
              <w:t>分，未提供有效业绩证明不得分。</w:t>
            </w:r>
          </w:p>
          <w:p w14:paraId="5246DAFD">
            <w:pPr>
              <w:pStyle w:val="7"/>
              <w:spacing w:line="240" w:lineRule="auto"/>
              <w:jc w:val="left"/>
              <w:rPr>
                <w:rFonts w:hint="eastAsia" w:ascii="宋体" w:hAnsi="宋体" w:eastAsia="宋体" w:cs="宋体"/>
                <w:sz w:val="24"/>
                <w:szCs w:val="24"/>
                <w:lang w:val="en-US" w:eastAsia="zh-Hans"/>
              </w:rPr>
            </w:pPr>
            <w:r>
              <w:rPr>
                <w:rFonts w:hint="eastAsia" w:ascii="宋体" w:hAnsi="宋体" w:eastAsia="宋体" w:cs="宋体"/>
                <w:sz w:val="24"/>
                <w:szCs w:val="24"/>
                <w:lang w:val="en-US" w:eastAsia="zh-CN"/>
              </w:rPr>
              <w:t>需提供合同复印件作为证明材料，以合同签订日期为准</w:t>
            </w:r>
          </w:p>
        </w:tc>
        <w:tc>
          <w:tcPr>
            <w:tcW w:w="491" w:type="pct"/>
            <w:vAlign w:val="center"/>
          </w:tcPr>
          <w:p w14:paraId="60E92F0E">
            <w:pPr>
              <w:snapToGrid w:val="0"/>
              <w:spacing w:line="264" w:lineRule="auto"/>
              <w:ind w:left="-63" w:leftChars="-30" w:right="-88" w:rightChars="-42"/>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w:t>
            </w:r>
          </w:p>
        </w:tc>
        <w:tc>
          <w:tcPr>
            <w:tcW w:w="345" w:type="pct"/>
            <w:vAlign w:val="center"/>
          </w:tcPr>
          <w:p w14:paraId="75CC1933">
            <w:pPr>
              <w:snapToGrid w:val="0"/>
              <w:spacing w:line="264" w:lineRule="auto"/>
              <w:ind w:left="-78" w:leftChars="-37" w:right="-73" w:rightChars="-35"/>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w:t>
            </w:r>
          </w:p>
        </w:tc>
      </w:tr>
      <w:tr w14:paraId="2A9682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9" w:hRule="atLeast"/>
        </w:trPr>
        <w:tc>
          <w:tcPr>
            <w:tcW w:w="392" w:type="pct"/>
            <w:vAlign w:val="center"/>
          </w:tcPr>
          <w:p w14:paraId="73D0F416">
            <w:pPr>
              <w:pStyle w:val="6"/>
              <w:numPr>
                <w:ilvl w:val="0"/>
                <w:numId w:val="7"/>
              </w:numPr>
              <w:snapToGrid w:val="0"/>
              <w:spacing w:line="264" w:lineRule="auto"/>
              <w:ind w:firstLineChars="0"/>
              <w:jc w:val="center"/>
              <w:rPr>
                <w:rFonts w:hint="eastAsia" w:ascii="宋体" w:hAnsi="宋体" w:eastAsia="宋体" w:cs="宋体"/>
                <w:color w:val="auto"/>
                <w:sz w:val="24"/>
                <w:szCs w:val="24"/>
              </w:rPr>
            </w:pPr>
          </w:p>
        </w:tc>
        <w:tc>
          <w:tcPr>
            <w:tcW w:w="590" w:type="pct"/>
            <w:shd w:val="clear" w:color="auto" w:fill="auto"/>
            <w:vAlign w:val="center"/>
          </w:tcPr>
          <w:p w14:paraId="3375E13F">
            <w:pPr>
              <w:pStyle w:val="7"/>
              <w:jc w:val="center"/>
              <w:rPr>
                <w:rFonts w:hint="eastAsia" w:ascii="宋体" w:hAnsi="宋体" w:eastAsia="宋体" w:cs="宋体"/>
                <w:sz w:val="24"/>
                <w:szCs w:val="24"/>
                <w:lang w:val="en-US" w:eastAsia="zh-Hans"/>
              </w:rPr>
            </w:pPr>
            <w:r>
              <w:rPr>
                <w:rFonts w:hint="eastAsia" w:ascii="宋体" w:hAnsi="宋体" w:eastAsia="宋体" w:cs="宋体"/>
                <w:sz w:val="24"/>
                <w:szCs w:val="24"/>
              </w:rPr>
              <w:t>项目负责人 (6.0分)</w:t>
            </w:r>
          </w:p>
        </w:tc>
        <w:tc>
          <w:tcPr>
            <w:tcW w:w="3179" w:type="pct"/>
            <w:shd w:val="clear" w:color="auto" w:fill="auto"/>
            <w:vAlign w:val="top"/>
          </w:tcPr>
          <w:p w14:paraId="7ED923A7">
            <w:pPr>
              <w:pStyle w:val="7"/>
              <w:spacing w:line="240" w:lineRule="auto"/>
              <w:jc w:val="left"/>
              <w:rPr>
                <w:rFonts w:hint="eastAsia" w:ascii="宋体" w:hAnsi="宋体" w:eastAsia="宋体" w:cs="宋体"/>
                <w:sz w:val="24"/>
                <w:szCs w:val="24"/>
              </w:rPr>
            </w:pPr>
            <w:r>
              <w:rPr>
                <w:rFonts w:hint="eastAsia" w:ascii="宋体" w:hAnsi="宋体" w:eastAsia="宋体" w:cs="宋体"/>
                <w:sz w:val="24"/>
                <w:szCs w:val="24"/>
              </w:rPr>
              <w:t>根据本项目要求，</w:t>
            </w:r>
            <w:r>
              <w:rPr>
                <w:rFonts w:hint="eastAsia" w:ascii="宋体" w:hAnsi="宋体" w:eastAsia="宋体" w:cs="宋体"/>
                <w:sz w:val="24"/>
                <w:szCs w:val="24"/>
                <w:lang w:eastAsia="zh-CN"/>
              </w:rPr>
              <w:t>响应供应商</w:t>
            </w:r>
            <w:r>
              <w:rPr>
                <w:rFonts w:hint="eastAsia" w:ascii="宋体" w:hAnsi="宋体" w:eastAsia="宋体" w:cs="宋体"/>
                <w:sz w:val="24"/>
                <w:szCs w:val="24"/>
              </w:rPr>
              <w:t>需派出1名项目负责人，项目负责人至少须满足下列第①项条件，否则本项不得分：</w:t>
            </w:r>
          </w:p>
          <w:p w14:paraId="4D5F2C48">
            <w:pPr>
              <w:pStyle w:val="7"/>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lang w:val="en-US" w:eastAsia="zh-CN"/>
              </w:rPr>
              <w:t>①</w:t>
            </w:r>
            <w:r>
              <w:rPr>
                <w:rFonts w:hint="eastAsia" w:ascii="宋体" w:hAnsi="宋体" w:eastAsia="宋体" w:cs="宋体"/>
                <w:sz w:val="24"/>
                <w:szCs w:val="24"/>
              </w:rPr>
              <w:t>具有咨询工程师资格证书，得2分</w:t>
            </w:r>
            <w:r>
              <w:rPr>
                <w:rFonts w:hint="eastAsia" w:ascii="宋体" w:hAnsi="宋体" w:eastAsia="宋体" w:cs="宋体"/>
                <w:sz w:val="24"/>
                <w:szCs w:val="24"/>
                <w:lang w:eastAsia="zh-CN"/>
              </w:rPr>
              <w:t>。</w:t>
            </w:r>
          </w:p>
          <w:p w14:paraId="4EF1F1AB">
            <w:pPr>
              <w:pStyle w:val="7"/>
              <w:spacing w:line="240" w:lineRule="auto"/>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②</w:t>
            </w:r>
            <w:r>
              <w:rPr>
                <w:rFonts w:hint="eastAsia" w:ascii="宋体" w:hAnsi="宋体" w:eastAsia="宋体" w:cs="宋体"/>
                <w:sz w:val="24"/>
                <w:szCs w:val="24"/>
              </w:rPr>
              <w:t>具备建筑工程类高级工程师，得2分，建筑工程类中级工程师，得1分，其他不得分</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本小项最高得2分。</w:t>
            </w:r>
          </w:p>
          <w:p w14:paraId="0476C70F">
            <w:pPr>
              <w:pStyle w:val="7"/>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3、每具备注册一级建造师得</w:t>
            </w:r>
            <w:r>
              <w:rPr>
                <w:rFonts w:hint="eastAsia" w:ascii="宋体" w:hAnsi="宋体" w:eastAsia="宋体" w:cs="宋体"/>
                <w:sz w:val="24"/>
                <w:szCs w:val="24"/>
                <w:lang w:val="en-US" w:eastAsia="zh-CN"/>
              </w:rPr>
              <w:t>2</w:t>
            </w:r>
            <w:r>
              <w:rPr>
                <w:rFonts w:hint="eastAsia" w:ascii="宋体" w:hAnsi="宋体" w:eastAsia="宋体" w:cs="宋体"/>
                <w:sz w:val="24"/>
                <w:szCs w:val="24"/>
              </w:rPr>
              <w:t>分，注册</w:t>
            </w:r>
            <w:r>
              <w:rPr>
                <w:rFonts w:hint="eastAsia" w:ascii="宋体" w:hAnsi="宋体" w:eastAsia="宋体" w:cs="宋体"/>
                <w:sz w:val="24"/>
                <w:szCs w:val="24"/>
                <w:lang w:eastAsia="zh-CN"/>
              </w:rPr>
              <w:t>二</w:t>
            </w:r>
            <w:r>
              <w:rPr>
                <w:rFonts w:hint="eastAsia" w:ascii="宋体" w:hAnsi="宋体" w:eastAsia="宋体" w:cs="宋体"/>
                <w:sz w:val="24"/>
                <w:szCs w:val="24"/>
              </w:rPr>
              <w:t>级建造师得</w:t>
            </w:r>
            <w:r>
              <w:rPr>
                <w:rFonts w:hint="eastAsia" w:ascii="宋体" w:hAnsi="宋体" w:eastAsia="宋体" w:cs="宋体"/>
                <w:sz w:val="24"/>
                <w:szCs w:val="24"/>
                <w:lang w:eastAsia="zh-CN"/>
              </w:rPr>
              <w:t>1</w:t>
            </w:r>
            <w:r>
              <w:rPr>
                <w:rFonts w:hint="eastAsia" w:ascii="宋体" w:hAnsi="宋体" w:eastAsia="宋体" w:cs="宋体"/>
                <w:sz w:val="24"/>
                <w:szCs w:val="24"/>
              </w:rPr>
              <w:t>分，</w:t>
            </w:r>
            <w:r>
              <w:rPr>
                <w:rFonts w:hint="eastAsia" w:ascii="宋体" w:hAnsi="宋体" w:eastAsia="宋体" w:cs="宋体"/>
                <w:sz w:val="24"/>
                <w:szCs w:val="24"/>
                <w:lang w:val="en-US" w:eastAsia="zh-CN"/>
              </w:rPr>
              <w:t>本小项</w:t>
            </w:r>
            <w:r>
              <w:rPr>
                <w:rFonts w:hint="eastAsia" w:ascii="宋体" w:hAnsi="宋体" w:eastAsia="宋体" w:cs="宋体"/>
                <w:sz w:val="24"/>
                <w:szCs w:val="24"/>
              </w:rPr>
              <w:t>最高得2分</w:t>
            </w:r>
            <w:r>
              <w:rPr>
                <w:rFonts w:hint="eastAsia" w:ascii="宋体" w:hAnsi="宋体" w:eastAsia="宋体" w:cs="宋体"/>
                <w:sz w:val="24"/>
                <w:szCs w:val="24"/>
                <w:lang w:eastAsia="zh-CN"/>
              </w:rPr>
              <w:t>。</w:t>
            </w:r>
          </w:p>
          <w:p w14:paraId="2F08CC76">
            <w:pPr>
              <w:pStyle w:val="7"/>
              <w:spacing w:line="240" w:lineRule="auto"/>
              <w:jc w:val="left"/>
              <w:rPr>
                <w:rFonts w:hint="eastAsia" w:ascii="宋体" w:hAnsi="宋体" w:eastAsia="宋体" w:cs="宋体"/>
                <w:sz w:val="24"/>
                <w:szCs w:val="24"/>
                <w:lang w:val="en-US" w:eastAsia="zh-Hans"/>
              </w:rPr>
            </w:pPr>
            <w:r>
              <w:rPr>
                <w:rFonts w:hint="eastAsia" w:ascii="宋体" w:hAnsi="宋体" w:eastAsia="宋体" w:cs="宋体"/>
                <w:sz w:val="24"/>
                <w:szCs w:val="24"/>
              </w:rPr>
              <w:t>本项最高得6分，</w:t>
            </w:r>
            <w:r>
              <w:rPr>
                <w:rFonts w:hint="eastAsia" w:ascii="宋体" w:hAnsi="宋体" w:eastAsia="宋体" w:cs="宋体"/>
                <w:sz w:val="24"/>
                <w:szCs w:val="24"/>
                <w:lang w:eastAsia="zh-CN"/>
              </w:rPr>
              <w:t>响应供应商</w:t>
            </w:r>
            <w:r>
              <w:rPr>
                <w:rFonts w:hint="eastAsia" w:ascii="宋体" w:hAnsi="宋体" w:eastAsia="宋体" w:cs="宋体"/>
                <w:sz w:val="24"/>
                <w:szCs w:val="24"/>
              </w:rPr>
              <w:t>需提供项目负责人的社保证明（开标当月之前半年内任意1个月的社保记录）、资格证书等相关证明材料复印件，未提供本项不得分。</w:t>
            </w:r>
          </w:p>
        </w:tc>
        <w:tc>
          <w:tcPr>
            <w:tcW w:w="491" w:type="pct"/>
            <w:vAlign w:val="center"/>
          </w:tcPr>
          <w:p w14:paraId="7D764211">
            <w:pPr>
              <w:snapToGrid w:val="0"/>
              <w:spacing w:line="264" w:lineRule="auto"/>
              <w:ind w:left="-78" w:leftChars="-37" w:right="-73" w:rightChars="-35"/>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p>
        </w:tc>
        <w:tc>
          <w:tcPr>
            <w:tcW w:w="345" w:type="pct"/>
            <w:vAlign w:val="center"/>
          </w:tcPr>
          <w:p w14:paraId="729C0496">
            <w:pPr>
              <w:snapToGrid w:val="0"/>
              <w:spacing w:line="264" w:lineRule="auto"/>
              <w:ind w:left="-78" w:leftChars="-37" w:right="-73" w:rightChars="-35"/>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p>
        </w:tc>
      </w:tr>
      <w:tr w14:paraId="3ADA7A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392" w:type="pct"/>
            <w:vAlign w:val="center"/>
          </w:tcPr>
          <w:p w14:paraId="04ABBD1A">
            <w:pPr>
              <w:pStyle w:val="6"/>
              <w:numPr>
                <w:ilvl w:val="0"/>
                <w:numId w:val="7"/>
              </w:numPr>
              <w:snapToGrid w:val="0"/>
              <w:spacing w:line="264" w:lineRule="auto"/>
              <w:ind w:firstLineChars="0"/>
              <w:jc w:val="center"/>
              <w:rPr>
                <w:rFonts w:hint="eastAsia" w:ascii="宋体" w:hAnsi="宋体" w:eastAsia="宋体" w:cs="宋体"/>
                <w:color w:val="auto"/>
                <w:sz w:val="24"/>
                <w:szCs w:val="24"/>
              </w:rPr>
            </w:pPr>
          </w:p>
        </w:tc>
        <w:tc>
          <w:tcPr>
            <w:tcW w:w="590" w:type="pct"/>
            <w:shd w:val="clear" w:color="auto" w:fill="auto"/>
            <w:vAlign w:val="center"/>
          </w:tcPr>
          <w:p w14:paraId="77E78003">
            <w:pPr>
              <w:pStyle w:val="7"/>
              <w:jc w:val="center"/>
              <w:rPr>
                <w:rFonts w:hint="eastAsia" w:ascii="宋体" w:hAnsi="宋体" w:eastAsia="宋体" w:cs="宋体"/>
                <w:sz w:val="24"/>
                <w:szCs w:val="24"/>
                <w:lang w:val="en-US" w:eastAsia="zh-Hans"/>
              </w:rPr>
            </w:pPr>
            <w:r>
              <w:rPr>
                <w:rFonts w:hint="eastAsia" w:ascii="宋体" w:hAnsi="宋体" w:eastAsia="宋体" w:cs="宋体"/>
                <w:sz w:val="24"/>
                <w:szCs w:val="24"/>
              </w:rPr>
              <w:t xml:space="preserve">拟派出人员 </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项目负责人除外）</w:t>
            </w:r>
            <w:r>
              <w:rPr>
                <w:rFonts w:hint="eastAsia" w:ascii="宋体" w:hAnsi="宋体" w:eastAsia="宋体" w:cs="宋体"/>
                <w:sz w:val="24"/>
                <w:szCs w:val="24"/>
              </w:rPr>
              <w:t>(</w:t>
            </w:r>
            <w:r>
              <w:rPr>
                <w:rFonts w:hint="eastAsia" w:ascii="宋体" w:hAnsi="宋体" w:eastAsia="宋体" w:cs="宋体"/>
                <w:sz w:val="24"/>
                <w:szCs w:val="24"/>
                <w:lang w:val="en-US" w:eastAsia="zh-CN"/>
              </w:rPr>
              <w:t>12</w:t>
            </w:r>
            <w:r>
              <w:rPr>
                <w:rFonts w:hint="eastAsia" w:ascii="宋体" w:hAnsi="宋体" w:eastAsia="宋体" w:cs="宋体"/>
                <w:sz w:val="24"/>
                <w:szCs w:val="24"/>
              </w:rPr>
              <w:t>.0分)</w:t>
            </w:r>
          </w:p>
        </w:tc>
        <w:tc>
          <w:tcPr>
            <w:tcW w:w="3179" w:type="pct"/>
            <w:shd w:val="clear" w:color="auto" w:fill="auto"/>
            <w:vAlign w:val="top"/>
          </w:tcPr>
          <w:p w14:paraId="41813D9B">
            <w:pPr>
              <w:pStyle w:val="7"/>
              <w:spacing w:line="240" w:lineRule="auto"/>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对拟派出的人员（项目负责人除外）的人员进行评审</w:t>
            </w:r>
          </w:p>
          <w:p w14:paraId="5B393F91">
            <w:pPr>
              <w:pStyle w:val="7"/>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1、每提供一名咨询工程师同时具备建筑工程类高级工程师的得6分，提供1名咨询工程师同时具备建筑工程类中级工程师的得3分，其余不得分</w:t>
            </w:r>
            <w:r>
              <w:rPr>
                <w:rFonts w:hint="eastAsia" w:ascii="宋体" w:hAnsi="宋体" w:eastAsia="宋体" w:cs="宋体"/>
                <w:sz w:val="24"/>
                <w:szCs w:val="24"/>
                <w:lang w:eastAsia="zh-CN"/>
              </w:rPr>
              <w:t>。</w:t>
            </w:r>
            <w:r>
              <w:rPr>
                <w:rFonts w:hint="eastAsia" w:ascii="宋体" w:hAnsi="宋体" w:eastAsia="宋体" w:cs="宋体"/>
                <w:sz w:val="24"/>
                <w:szCs w:val="24"/>
              </w:rPr>
              <w:t>本小项最高得6分；</w:t>
            </w:r>
          </w:p>
          <w:p w14:paraId="60210094">
            <w:pPr>
              <w:pStyle w:val="7"/>
              <w:spacing w:line="240" w:lineRule="auto"/>
              <w:jc w:val="left"/>
              <w:rPr>
                <w:rFonts w:hint="eastAsia" w:ascii="宋体" w:hAnsi="宋体" w:eastAsia="宋体" w:cs="宋体"/>
                <w:sz w:val="24"/>
                <w:szCs w:val="24"/>
              </w:rPr>
            </w:pPr>
            <w:r>
              <w:rPr>
                <w:rFonts w:hint="eastAsia" w:ascii="宋体" w:hAnsi="宋体" w:eastAsia="宋体" w:cs="宋体"/>
                <w:sz w:val="24"/>
                <w:szCs w:val="24"/>
              </w:rPr>
              <w:t>2、每提供1名经济相关类中级或以上工程师专业技术人员〔包括：中级（或以上）经济专业技术资格、注册会计师资格证书或中级（或以上）会计师职称、审计师（审计专业技术资格）、统计师（统计专业技术资格）、资产评估师、得2分，分数累加。本小项最高得6分；</w:t>
            </w:r>
          </w:p>
          <w:p w14:paraId="60547900">
            <w:pPr>
              <w:pStyle w:val="7"/>
              <w:spacing w:line="240" w:lineRule="auto"/>
              <w:jc w:val="left"/>
              <w:rPr>
                <w:rFonts w:hint="eastAsia" w:ascii="宋体" w:hAnsi="宋体" w:eastAsia="宋体" w:cs="宋体"/>
                <w:sz w:val="24"/>
                <w:szCs w:val="24"/>
                <w:lang w:val="en-US" w:eastAsia="zh-Hans"/>
              </w:rPr>
            </w:pPr>
            <w:r>
              <w:rPr>
                <w:rFonts w:hint="eastAsia" w:ascii="宋体" w:hAnsi="宋体" w:eastAsia="宋体" w:cs="宋体"/>
                <w:sz w:val="24"/>
                <w:szCs w:val="24"/>
              </w:rPr>
              <w:t>每名项目服务人员不重复计分，本项最高得</w:t>
            </w:r>
            <w:r>
              <w:rPr>
                <w:rFonts w:hint="eastAsia" w:ascii="宋体" w:hAnsi="宋体" w:eastAsia="宋体" w:cs="宋体"/>
                <w:sz w:val="24"/>
                <w:szCs w:val="24"/>
                <w:lang w:val="en-US" w:eastAsia="zh-CN"/>
              </w:rPr>
              <w:t>12</w:t>
            </w:r>
            <w:r>
              <w:rPr>
                <w:rFonts w:hint="eastAsia" w:ascii="宋体" w:hAnsi="宋体" w:eastAsia="宋体" w:cs="宋体"/>
                <w:sz w:val="24"/>
                <w:szCs w:val="24"/>
              </w:rPr>
              <w:t>分，</w:t>
            </w:r>
            <w:r>
              <w:rPr>
                <w:rFonts w:hint="eastAsia" w:ascii="宋体" w:hAnsi="宋体" w:eastAsia="宋体" w:cs="宋体"/>
                <w:sz w:val="24"/>
                <w:szCs w:val="24"/>
                <w:lang w:eastAsia="zh-CN"/>
              </w:rPr>
              <w:t>响应供应商</w:t>
            </w:r>
            <w:r>
              <w:rPr>
                <w:rFonts w:hint="eastAsia" w:ascii="宋体" w:hAnsi="宋体" w:eastAsia="宋体" w:cs="宋体"/>
                <w:sz w:val="24"/>
                <w:szCs w:val="24"/>
              </w:rPr>
              <w:t>需提供项目服务人员的社保证明（开标当月之前半年内任意一个月的社保记录）、资格证书等相关证明材料复印件，未提供本项不得分。</w:t>
            </w:r>
          </w:p>
        </w:tc>
        <w:tc>
          <w:tcPr>
            <w:tcW w:w="491" w:type="pct"/>
            <w:vAlign w:val="center"/>
          </w:tcPr>
          <w:p w14:paraId="2C4340E2">
            <w:pPr>
              <w:snapToGrid w:val="0"/>
              <w:spacing w:line="264" w:lineRule="auto"/>
              <w:ind w:left="-78" w:leftChars="-37" w:right="-73" w:rightChars="-35"/>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w:t>
            </w:r>
          </w:p>
        </w:tc>
        <w:tc>
          <w:tcPr>
            <w:tcW w:w="345" w:type="pct"/>
            <w:vAlign w:val="center"/>
          </w:tcPr>
          <w:p w14:paraId="07A36D4E">
            <w:pPr>
              <w:snapToGrid w:val="0"/>
              <w:spacing w:line="264" w:lineRule="auto"/>
              <w:ind w:left="-78" w:leftChars="-37" w:right="-73" w:rightChars="-35"/>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w:t>
            </w:r>
          </w:p>
        </w:tc>
      </w:tr>
      <w:bookmarkEnd w:id="7"/>
      <w:bookmarkEnd w:id="8"/>
      <w:bookmarkEnd w:id="9"/>
      <w:bookmarkEnd w:id="10"/>
      <w:bookmarkEnd w:id="11"/>
      <w:tr w14:paraId="4DD5C3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73" w:hRule="atLeast"/>
        </w:trPr>
        <w:tc>
          <w:tcPr>
            <w:tcW w:w="392" w:type="pct"/>
            <w:vAlign w:val="center"/>
          </w:tcPr>
          <w:p w14:paraId="46B40ADC">
            <w:pPr>
              <w:snapToGrid w:val="0"/>
              <w:spacing w:line="264" w:lineRule="auto"/>
              <w:jc w:val="center"/>
              <w:rPr>
                <w:rFonts w:hint="eastAsia" w:ascii="宋体" w:hAnsi="宋体" w:eastAsia="宋体" w:cs="宋体"/>
                <w:b/>
                <w:sz w:val="24"/>
                <w:szCs w:val="24"/>
              </w:rPr>
            </w:pPr>
            <w:r>
              <w:rPr>
                <w:rFonts w:hint="eastAsia" w:ascii="宋体" w:hAnsi="宋体" w:eastAsia="宋体" w:cs="宋体"/>
                <w:b/>
                <w:sz w:val="24"/>
                <w:szCs w:val="24"/>
              </w:rPr>
              <w:t>三</w:t>
            </w:r>
          </w:p>
        </w:tc>
        <w:tc>
          <w:tcPr>
            <w:tcW w:w="4607" w:type="pct"/>
            <w:gridSpan w:val="4"/>
            <w:vAlign w:val="center"/>
          </w:tcPr>
          <w:p w14:paraId="5139B519">
            <w:pPr>
              <w:snapToGrid w:val="0"/>
              <w:spacing w:line="240" w:lineRule="auto"/>
              <w:ind w:left="-78" w:leftChars="-37" w:right="-73" w:rightChars="-35"/>
              <w:jc w:val="center"/>
              <w:rPr>
                <w:rFonts w:hint="eastAsia" w:ascii="宋体" w:hAnsi="宋体" w:eastAsia="宋体" w:cs="宋体"/>
                <w:b/>
                <w:bCs/>
                <w:color w:val="595959"/>
                <w:sz w:val="24"/>
                <w:szCs w:val="24"/>
                <w:shd w:val="pct10" w:color="auto" w:fill="FFFFFF"/>
              </w:rPr>
            </w:pPr>
            <w:r>
              <w:rPr>
                <w:rFonts w:hint="eastAsia" w:ascii="宋体" w:hAnsi="宋体" w:eastAsia="宋体" w:cs="宋体"/>
                <w:b/>
                <w:sz w:val="24"/>
                <w:szCs w:val="24"/>
              </w:rPr>
              <w:t>价格部分（合计</w:t>
            </w:r>
            <w:r>
              <w:rPr>
                <w:rFonts w:hint="eastAsia" w:ascii="宋体" w:hAnsi="宋体" w:eastAsia="宋体" w:cs="宋体"/>
                <w:b/>
                <w:sz w:val="24"/>
                <w:szCs w:val="24"/>
                <w:lang w:val="en-US" w:eastAsia="zh-CN"/>
              </w:rPr>
              <w:t>20</w:t>
            </w:r>
            <w:r>
              <w:rPr>
                <w:rFonts w:hint="eastAsia" w:ascii="宋体" w:hAnsi="宋体" w:eastAsia="宋体" w:cs="宋体"/>
                <w:b/>
                <w:sz w:val="24"/>
                <w:szCs w:val="24"/>
              </w:rPr>
              <w:t>分）</w:t>
            </w:r>
          </w:p>
        </w:tc>
      </w:tr>
      <w:tr w14:paraId="60FECC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26" w:hRule="atLeast"/>
        </w:trPr>
        <w:tc>
          <w:tcPr>
            <w:tcW w:w="392" w:type="pct"/>
            <w:vAlign w:val="center"/>
          </w:tcPr>
          <w:p w14:paraId="5B08353F">
            <w:pPr>
              <w:numPr>
                <w:ilvl w:val="0"/>
                <w:numId w:val="0"/>
              </w:numPr>
              <w:snapToGrid w:val="0"/>
              <w:spacing w:line="264" w:lineRule="auto"/>
              <w:ind w:leftChars="0"/>
              <w:jc w:val="both"/>
              <w:rPr>
                <w:rFonts w:hint="eastAsia" w:ascii="宋体" w:hAnsi="宋体" w:eastAsia="宋体" w:cs="宋体"/>
                <w:sz w:val="24"/>
                <w:szCs w:val="24"/>
              </w:rPr>
            </w:pPr>
            <w:bookmarkStart w:id="12" w:name="回填数据_价格评分_标准分值_1" w:colFirst="3" w:colLast="3"/>
            <w:bookmarkStart w:id="13" w:name="回填数据_价格评分_权重_1" w:colFirst="4" w:colLast="4"/>
          </w:p>
        </w:tc>
        <w:tc>
          <w:tcPr>
            <w:tcW w:w="590" w:type="pct"/>
            <w:vAlign w:val="center"/>
          </w:tcPr>
          <w:p w14:paraId="27B4BFF5">
            <w:pPr>
              <w:snapToGrid w:val="0"/>
              <w:spacing w:line="264" w:lineRule="auto"/>
              <w:jc w:val="center"/>
              <w:rPr>
                <w:rFonts w:hint="eastAsia" w:ascii="宋体" w:hAnsi="宋体" w:eastAsia="宋体" w:cs="宋体"/>
                <w:sz w:val="24"/>
                <w:szCs w:val="24"/>
              </w:rPr>
            </w:pPr>
            <w:r>
              <w:rPr>
                <w:rFonts w:hint="eastAsia" w:ascii="宋体" w:hAnsi="宋体" w:eastAsia="宋体" w:cs="宋体"/>
                <w:sz w:val="24"/>
                <w:szCs w:val="24"/>
              </w:rPr>
              <w:t>最后磋商报价</w:t>
            </w:r>
          </w:p>
        </w:tc>
        <w:tc>
          <w:tcPr>
            <w:tcW w:w="3179" w:type="pct"/>
            <w:vAlign w:val="center"/>
          </w:tcPr>
          <w:p w14:paraId="511D2FFE">
            <w:pPr>
              <w:snapToGrid w:val="0"/>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价格分统一采用低价优先法计算，即满足要求且最后报价最低的报价为基准价，其价格分为满分。其他响应供应商的价格分统一按照下列公式计算</w:t>
            </w:r>
          </w:p>
          <w:p w14:paraId="66F5C138">
            <w:pPr>
              <w:widowControl/>
              <w:snapToGrid w:val="0"/>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磋商报价得分=(基准价／最后报价)×100×价格权重</w:t>
            </w:r>
          </w:p>
          <w:p w14:paraId="79E5204F">
            <w:pPr>
              <w:widowControl/>
              <w:snapToGrid w:val="0"/>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报价以“1-报价下浮率”进行价格评分的计算。</w:t>
            </w:r>
            <w:bookmarkStart w:id="16" w:name="_GoBack"/>
            <w:bookmarkEnd w:id="16"/>
          </w:p>
        </w:tc>
        <w:tc>
          <w:tcPr>
            <w:tcW w:w="491" w:type="pct"/>
            <w:vAlign w:val="center"/>
          </w:tcPr>
          <w:p w14:paraId="697153E3">
            <w:pPr>
              <w:snapToGrid w:val="0"/>
              <w:spacing w:line="264" w:lineRule="auto"/>
              <w:ind w:left="-78" w:leftChars="-37" w:right="-73" w:rightChars="-35"/>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20</w:t>
            </w:r>
          </w:p>
        </w:tc>
        <w:tc>
          <w:tcPr>
            <w:tcW w:w="345" w:type="pct"/>
            <w:vAlign w:val="center"/>
          </w:tcPr>
          <w:p w14:paraId="2E8E1628">
            <w:pPr>
              <w:snapToGrid w:val="0"/>
              <w:spacing w:line="264" w:lineRule="auto"/>
              <w:ind w:left="-78" w:leftChars="-37" w:right="-73" w:rightChars="-35"/>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20</w:t>
            </w:r>
          </w:p>
        </w:tc>
      </w:tr>
      <w:bookmarkEnd w:id="12"/>
      <w:bookmarkEnd w:id="13"/>
      <w:tr w14:paraId="252A77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2" w:hRule="atLeast"/>
        </w:trPr>
        <w:tc>
          <w:tcPr>
            <w:tcW w:w="4162" w:type="pct"/>
            <w:gridSpan w:val="3"/>
            <w:vAlign w:val="center"/>
          </w:tcPr>
          <w:p w14:paraId="7A77963E">
            <w:pPr>
              <w:snapToGrid w:val="0"/>
              <w:spacing w:line="264" w:lineRule="auto"/>
              <w:ind w:left="-78" w:leftChars="-37" w:right="-73" w:rightChars="-35"/>
              <w:jc w:val="center"/>
              <w:rPr>
                <w:rFonts w:hint="eastAsia" w:ascii="宋体" w:hAnsi="宋体" w:eastAsia="宋体" w:cs="宋体"/>
                <w:b/>
                <w:sz w:val="24"/>
                <w:szCs w:val="24"/>
              </w:rPr>
            </w:pPr>
            <w:r>
              <w:rPr>
                <w:rFonts w:hint="eastAsia" w:ascii="宋体" w:hAnsi="宋体" w:eastAsia="宋体" w:cs="宋体"/>
                <w:b/>
                <w:sz w:val="24"/>
                <w:szCs w:val="24"/>
              </w:rPr>
              <w:t>合计</w:t>
            </w:r>
          </w:p>
        </w:tc>
        <w:tc>
          <w:tcPr>
            <w:tcW w:w="491" w:type="pct"/>
            <w:vAlign w:val="center"/>
          </w:tcPr>
          <w:p w14:paraId="14109531">
            <w:pPr>
              <w:snapToGrid w:val="0"/>
              <w:spacing w:line="264" w:lineRule="auto"/>
              <w:ind w:left="-78" w:leftChars="-37" w:right="-73" w:rightChars="-35"/>
              <w:jc w:val="center"/>
              <w:rPr>
                <w:rFonts w:hint="eastAsia" w:ascii="宋体" w:hAnsi="宋体" w:eastAsia="宋体" w:cs="宋体"/>
                <w:b/>
                <w:sz w:val="24"/>
                <w:szCs w:val="24"/>
              </w:rPr>
            </w:pPr>
            <w:bookmarkStart w:id="14" w:name="回填数据_分数统计_总分_1"/>
            <w:r>
              <w:rPr>
                <w:rFonts w:hint="eastAsia" w:ascii="宋体" w:hAnsi="宋体" w:eastAsia="宋体" w:cs="宋体"/>
                <w:b/>
                <w:sz w:val="24"/>
                <w:szCs w:val="24"/>
              </w:rPr>
              <w:t>100</w:t>
            </w:r>
            <w:bookmarkEnd w:id="14"/>
            <w:r>
              <w:rPr>
                <w:rFonts w:hint="eastAsia" w:ascii="宋体" w:hAnsi="宋体" w:eastAsia="宋体" w:cs="宋体"/>
                <w:b/>
                <w:sz w:val="24"/>
                <w:szCs w:val="24"/>
              </w:rPr>
              <w:t xml:space="preserve">% </w:t>
            </w:r>
          </w:p>
        </w:tc>
        <w:tc>
          <w:tcPr>
            <w:tcW w:w="345" w:type="pct"/>
            <w:vAlign w:val="center"/>
          </w:tcPr>
          <w:p w14:paraId="7FFAFFCD">
            <w:pPr>
              <w:snapToGrid w:val="0"/>
              <w:spacing w:line="264" w:lineRule="auto"/>
              <w:ind w:left="-78" w:leftChars="-37" w:right="-73" w:rightChars="-35"/>
              <w:jc w:val="center"/>
              <w:rPr>
                <w:rFonts w:hint="eastAsia" w:ascii="宋体" w:hAnsi="宋体" w:eastAsia="宋体" w:cs="宋体"/>
                <w:b/>
                <w:sz w:val="24"/>
                <w:szCs w:val="24"/>
              </w:rPr>
            </w:pPr>
            <w:bookmarkStart w:id="15" w:name="回填数据_分数统计_总分_2"/>
            <w:r>
              <w:rPr>
                <w:rFonts w:hint="eastAsia" w:ascii="宋体" w:hAnsi="宋体" w:eastAsia="宋体" w:cs="宋体"/>
                <w:b/>
                <w:sz w:val="24"/>
                <w:szCs w:val="24"/>
              </w:rPr>
              <w:t>100</w:t>
            </w:r>
            <w:bookmarkEnd w:id="15"/>
            <w:r>
              <w:rPr>
                <w:rFonts w:hint="eastAsia" w:ascii="宋体" w:hAnsi="宋体" w:eastAsia="宋体" w:cs="宋体"/>
                <w:b/>
                <w:sz w:val="24"/>
                <w:szCs w:val="24"/>
              </w:rPr>
              <w:t>分</w:t>
            </w:r>
          </w:p>
        </w:tc>
      </w:tr>
      <w:bookmarkEnd w:id="0"/>
      <w:bookmarkEnd w:id="1"/>
    </w:tbl>
    <w:p w14:paraId="0121862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73E767"/>
    <w:multiLevelType w:val="singleLevel"/>
    <w:tmpl w:val="DD73E767"/>
    <w:lvl w:ilvl="0" w:tentative="0">
      <w:start w:val="1"/>
      <w:numFmt w:val="decimal"/>
      <w:suff w:val="nothing"/>
      <w:lvlText w:val="（%1）"/>
      <w:lvlJc w:val="left"/>
    </w:lvl>
  </w:abstractNum>
  <w:abstractNum w:abstractNumId="1">
    <w:nsid w:val="2E0AA93A"/>
    <w:multiLevelType w:val="singleLevel"/>
    <w:tmpl w:val="2E0AA93A"/>
    <w:lvl w:ilvl="0" w:tentative="0">
      <w:start w:val="1"/>
      <w:numFmt w:val="decimal"/>
      <w:suff w:val="nothing"/>
      <w:lvlText w:val="（%1）"/>
      <w:lvlJc w:val="left"/>
    </w:lvl>
  </w:abstractNum>
  <w:abstractNum w:abstractNumId="2">
    <w:nsid w:val="46A61FC5"/>
    <w:multiLevelType w:val="multilevel"/>
    <w:tmpl w:val="46A61FC5"/>
    <w:lvl w:ilvl="0" w:tentative="0">
      <w:start w:val="1"/>
      <w:numFmt w:val="chineseCountingThousand"/>
      <w:lvlText w:val="(%1)"/>
      <w:lvlJc w:val="left"/>
      <w:pPr>
        <w:ind w:left="420" w:hanging="420"/>
      </w:pPr>
      <w:rPr>
        <w:rFonts w:hint="default"/>
        <w:b w:val="0"/>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8881DE2"/>
    <w:multiLevelType w:val="singleLevel"/>
    <w:tmpl w:val="48881DE2"/>
    <w:lvl w:ilvl="0" w:tentative="0">
      <w:start w:val="1"/>
      <w:numFmt w:val="decimal"/>
      <w:suff w:val="nothing"/>
      <w:lvlText w:val="（%1）"/>
      <w:lvlJc w:val="left"/>
    </w:lvl>
  </w:abstractNum>
  <w:abstractNum w:abstractNumId="4">
    <w:nsid w:val="56F00017"/>
    <w:multiLevelType w:val="singleLevel"/>
    <w:tmpl w:val="56F00017"/>
    <w:lvl w:ilvl="0" w:tentative="0">
      <w:start w:val="1"/>
      <w:numFmt w:val="decimal"/>
      <w:suff w:val="nothing"/>
      <w:lvlText w:val="（%1）"/>
      <w:lvlJc w:val="left"/>
    </w:lvl>
  </w:abstractNum>
  <w:abstractNum w:abstractNumId="5">
    <w:nsid w:val="6BDAEEFF"/>
    <w:multiLevelType w:val="singleLevel"/>
    <w:tmpl w:val="6BDAEEFF"/>
    <w:lvl w:ilvl="0" w:tentative="0">
      <w:start w:val="1"/>
      <w:numFmt w:val="decimal"/>
      <w:suff w:val="nothing"/>
      <w:lvlText w:val="（%1）"/>
      <w:lvlJc w:val="left"/>
    </w:lvl>
  </w:abstractNum>
  <w:abstractNum w:abstractNumId="6">
    <w:nsid w:val="6C73457C"/>
    <w:multiLevelType w:val="multilevel"/>
    <w:tmpl w:val="6C73457C"/>
    <w:lvl w:ilvl="0" w:tentative="0">
      <w:start w:val="1"/>
      <w:numFmt w:val="chineseCountingThousand"/>
      <w:lvlText w:val="(%1)"/>
      <w:lvlJc w:val="left"/>
      <w:pPr>
        <w:ind w:left="420" w:hanging="420"/>
      </w:pPr>
      <w:rPr>
        <w:rFonts w:hint="default"/>
        <w:b w:val="0"/>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4"/>
  </w:num>
  <w:num w:numId="3">
    <w:abstractNumId w:val="1"/>
  </w:num>
  <w:num w:numId="4">
    <w:abstractNumId w:val="3"/>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2N2E0Njc4NTk0OGExNDgyMGY1MTNmNTJlODBhODMifQ=="/>
  </w:docVars>
  <w:rsids>
    <w:rsidRoot w:val="7ED85D2B"/>
    <w:rsid w:val="0639790F"/>
    <w:rsid w:val="68490CFE"/>
    <w:rsid w:val="754C4A19"/>
    <w:rsid w:val="7DEE2F94"/>
    <w:rsid w:val="7ED85D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pPr>
    <w:rPr>
      <w:rFonts w:ascii="Times New Roman" w:hAnsi="Times New Roman" w:eastAsia="宋体" w:cs="Times New Roman"/>
      <w:sz w:val="21"/>
      <w:szCs w:val="21"/>
      <w:lang w:val="en-US" w:eastAsia="zh-CN" w:bidi="ar-SA"/>
    </w:rPr>
  </w:style>
  <w:style w:type="paragraph" w:styleId="2">
    <w:name w:val="heading 4"/>
    <w:basedOn w:val="1"/>
    <w:next w:val="1"/>
    <w:qFormat/>
    <w:uiPriority w:val="0"/>
    <w:pPr>
      <w:keepNext/>
      <w:keepLines/>
      <w:widowControl/>
      <w:autoSpaceDE/>
      <w:autoSpaceDN/>
      <w:adjustRightInd/>
      <w:spacing w:before="280" w:after="290" w:line="376" w:lineRule="auto"/>
      <w:outlineLvl w:val="3"/>
    </w:pPr>
    <w:rPr>
      <w:rFonts w:ascii="Arial" w:hAnsi="Arial" w:eastAsia="黑体"/>
      <w:b/>
      <w:bCs/>
      <w:sz w:val="28"/>
      <w:szCs w:val="28"/>
      <w:lang w:val="zh-CN"/>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99"/>
  </w:style>
  <w:style w:type="paragraph" w:styleId="6">
    <w:name w:val="List Paragraph"/>
    <w:basedOn w:val="1"/>
    <w:qFormat/>
    <w:uiPriority w:val="99"/>
    <w:pPr>
      <w:autoSpaceDE/>
      <w:autoSpaceDN/>
      <w:adjustRightInd/>
      <w:ind w:firstLine="420" w:firstLineChars="200"/>
      <w:jc w:val="both"/>
    </w:pPr>
    <w:rPr>
      <w:rFonts w:eastAsia="黑体"/>
      <w:bCs/>
      <w:kern w:val="2"/>
      <w:sz w:val="30"/>
      <w:szCs w:val="30"/>
    </w:rPr>
  </w:style>
  <w:style w:type="paragraph" w:customStyle="1" w:styleId="7">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2075</Words>
  <Characters>2200</Characters>
  <Lines>0</Lines>
  <Paragraphs>0</Paragraphs>
  <TotalTime>0</TotalTime>
  <ScaleCrop>false</ScaleCrop>
  <LinksUpToDate>false</LinksUpToDate>
  <CharactersWithSpaces>2230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2024-10-16T06:02:00Z</dcterms:created>
  <dc:creator>ONION!</dc:creator>
  <cp:lastModifiedBy>ONION!</cp:lastModifiedBy>
  <dcterms:modified xsi:type="dcterms:W3CDTF">2024-10-24T01:46:00Z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7919073C81CB421897997C775CB49A67_13</vt:lpwstr>
  </property>
</Properties>
</file>