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outlineLvl w:val="1"/>
        <w:rPr>
          <w:rFonts w:ascii="仿宋" w:hAnsi="仿宋" w:eastAsia="黑体"/>
          <w:sz w:val="30"/>
          <w:szCs w:val="30"/>
        </w:rPr>
      </w:pPr>
      <w:r>
        <w:rPr>
          <w:rStyle w:val="13"/>
          <w:rFonts w:hint="default" w:ascii="黑体" w:eastAsia="黑体"/>
          <w:color w:val="auto"/>
          <w:sz w:val="32"/>
          <w:szCs w:val="32"/>
        </w:rPr>
        <w:t>附件2</w:t>
      </w:r>
    </w:p>
    <w:p>
      <w:pPr>
        <w:pStyle w:val="4"/>
        <w:widowControl/>
        <w:ind w:right="29" w:rightChars="14"/>
        <w:jc w:val="center"/>
        <w:rPr>
          <w:rFonts w:ascii="仿宋_GB2312" w:eastAsia="仿宋_GB2312"/>
          <w:bCs/>
          <w:sz w:val="32"/>
          <w:szCs w:val="32"/>
        </w:rPr>
      </w:pPr>
      <w:r>
        <w:rPr>
          <w:rFonts w:ascii="仿宋_GB2312" w:eastAsia="仿宋_GB2312"/>
          <w:bCs/>
          <w:sz w:val="32"/>
          <w:szCs w:val="32"/>
        </w:rPr>
        <w:t>广州市海珠区文化广电旅游体育局</w:t>
      </w:r>
      <w:r>
        <w:rPr>
          <w:rFonts w:hint="eastAsia" w:ascii="仿宋_GB2312" w:eastAsia="仿宋_GB2312"/>
          <w:bCs/>
          <w:sz w:val="32"/>
          <w:szCs w:val="32"/>
        </w:rPr>
        <w:t>202</w:t>
      </w:r>
      <w:r>
        <w:rPr>
          <w:rFonts w:hint="eastAsia" w:ascii="仿宋_GB2312" w:eastAsia="仿宋_GB2312"/>
          <w:bCs/>
          <w:sz w:val="32"/>
          <w:szCs w:val="32"/>
          <w:lang w:val="en-US" w:eastAsia="zh-CN"/>
        </w:rPr>
        <w:t>5</w:t>
      </w:r>
      <w:r>
        <w:rPr>
          <w:rFonts w:hint="eastAsia" w:ascii="仿宋_GB2312" w:eastAsia="仿宋_GB2312"/>
          <w:bCs/>
          <w:sz w:val="32"/>
          <w:szCs w:val="32"/>
        </w:rPr>
        <w:t>年度食堂食材配送服务</w:t>
      </w:r>
    </w:p>
    <w:p>
      <w:pPr>
        <w:pStyle w:val="4"/>
        <w:widowControl/>
        <w:ind w:right="29" w:rightChars="14"/>
        <w:jc w:val="center"/>
        <w:rPr>
          <w:rFonts w:eastAsia="仿宋_GB2312"/>
          <w:bCs/>
          <w:sz w:val="32"/>
          <w:szCs w:val="32"/>
        </w:rPr>
      </w:pPr>
      <w:r>
        <w:rPr>
          <w:rFonts w:hint="eastAsia" w:ascii="仿宋_GB2312" w:eastAsia="仿宋_GB2312"/>
          <w:bCs/>
          <w:sz w:val="32"/>
          <w:szCs w:val="32"/>
        </w:rPr>
        <w:t>采购项目</w:t>
      </w:r>
      <w:r>
        <w:rPr>
          <w:rFonts w:ascii="仿宋_GB2312" w:eastAsia="仿宋_GB2312"/>
          <w:bCs/>
          <w:sz w:val="32"/>
          <w:szCs w:val="32"/>
        </w:rPr>
        <w:t>评分表</w:t>
      </w:r>
    </w:p>
    <w:tbl>
      <w:tblPr>
        <w:tblStyle w:val="11"/>
        <w:tblW w:w="94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1"/>
        <w:gridCol w:w="1208"/>
        <w:gridCol w:w="5921"/>
        <w:gridCol w:w="708"/>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07"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D8D8D8"/>
            <w:vAlign w:val="center"/>
          </w:tcPr>
          <w:p>
            <w:pPr>
              <w:snapToGrid w:val="0"/>
              <w:jc w:val="center"/>
              <w:rPr>
                <w:rFonts w:ascii="仿宋_GB2312" w:eastAsia="仿宋_GB2312"/>
                <w:b/>
                <w:bCs/>
                <w:sz w:val="24"/>
              </w:rPr>
            </w:pPr>
            <w:r>
              <w:rPr>
                <w:rFonts w:hint="eastAsia" w:ascii="仿宋_GB2312" w:eastAsia="仿宋_GB2312"/>
                <w:b/>
                <w:bCs/>
                <w:sz w:val="24"/>
              </w:rPr>
              <w:t>序号</w:t>
            </w:r>
          </w:p>
        </w:tc>
        <w:tc>
          <w:tcPr>
            <w:tcW w:w="1208" w:type="dxa"/>
            <w:tcBorders>
              <w:top w:val="single" w:color="auto" w:sz="4" w:space="0"/>
              <w:left w:val="nil"/>
              <w:bottom w:val="single" w:color="auto" w:sz="4" w:space="0"/>
              <w:right w:val="single" w:color="auto" w:sz="4" w:space="0"/>
            </w:tcBorders>
            <w:shd w:val="clear" w:color="auto" w:fill="D8D8D8"/>
            <w:vAlign w:val="center"/>
          </w:tcPr>
          <w:p>
            <w:pPr>
              <w:snapToGrid w:val="0"/>
              <w:jc w:val="center"/>
              <w:rPr>
                <w:rFonts w:ascii="仿宋_GB2312" w:eastAsia="仿宋_GB2312"/>
                <w:b/>
                <w:bCs/>
                <w:sz w:val="24"/>
              </w:rPr>
            </w:pPr>
            <w:r>
              <w:rPr>
                <w:rFonts w:hint="eastAsia" w:ascii="仿宋_GB2312" w:eastAsia="仿宋_GB2312"/>
                <w:b/>
                <w:bCs/>
                <w:sz w:val="24"/>
              </w:rPr>
              <w:t>评审项目</w:t>
            </w:r>
          </w:p>
        </w:tc>
        <w:tc>
          <w:tcPr>
            <w:tcW w:w="5921" w:type="dxa"/>
            <w:tcBorders>
              <w:top w:val="single" w:color="auto" w:sz="4" w:space="0"/>
              <w:left w:val="nil"/>
              <w:bottom w:val="single" w:color="auto" w:sz="4" w:space="0"/>
              <w:right w:val="single" w:color="auto" w:sz="4" w:space="0"/>
            </w:tcBorders>
            <w:shd w:val="clear" w:color="auto" w:fill="D8D8D8"/>
            <w:vAlign w:val="center"/>
          </w:tcPr>
          <w:p>
            <w:pPr>
              <w:snapToGrid w:val="0"/>
              <w:jc w:val="center"/>
              <w:rPr>
                <w:rFonts w:ascii="仿宋_GB2312" w:eastAsia="仿宋_GB2312"/>
                <w:b/>
                <w:bCs/>
                <w:sz w:val="24"/>
              </w:rPr>
            </w:pPr>
            <w:r>
              <w:rPr>
                <w:rFonts w:hint="eastAsia" w:ascii="仿宋_GB2312" w:eastAsia="仿宋_GB2312"/>
                <w:b/>
                <w:bCs/>
                <w:sz w:val="24"/>
              </w:rPr>
              <w:t>评分标准</w:t>
            </w:r>
          </w:p>
        </w:tc>
        <w:tc>
          <w:tcPr>
            <w:tcW w:w="708" w:type="dxa"/>
            <w:tcBorders>
              <w:top w:val="single" w:color="auto" w:sz="4" w:space="0"/>
              <w:left w:val="nil"/>
              <w:bottom w:val="single" w:color="auto" w:sz="4" w:space="0"/>
              <w:right w:val="single" w:color="auto" w:sz="4" w:space="0"/>
            </w:tcBorders>
            <w:shd w:val="clear" w:color="auto" w:fill="D8D8D8"/>
            <w:vAlign w:val="center"/>
          </w:tcPr>
          <w:p>
            <w:pPr>
              <w:widowControl/>
              <w:snapToGrid w:val="0"/>
              <w:jc w:val="center"/>
              <w:rPr>
                <w:rFonts w:eastAsia="仿宋_GB2312"/>
                <w:b/>
                <w:bCs/>
                <w:sz w:val="24"/>
              </w:rPr>
            </w:pPr>
            <w:r>
              <w:rPr>
                <w:rFonts w:eastAsia="仿宋_GB2312"/>
                <w:b/>
                <w:bCs/>
                <w:sz w:val="24"/>
              </w:rPr>
              <w:t>分值</w:t>
            </w:r>
          </w:p>
        </w:tc>
        <w:tc>
          <w:tcPr>
            <w:tcW w:w="906" w:type="dxa"/>
            <w:tcBorders>
              <w:top w:val="single" w:color="auto" w:sz="4" w:space="0"/>
              <w:left w:val="nil"/>
              <w:bottom w:val="single" w:color="auto" w:sz="4" w:space="0"/>
              <w:right w:val="single" w:color="auto" w:sz="4" w:space="0"/>
            </w:tcBorders>
            <w:shd w:val="clear" w:color="auto" w:fill="D8D8D8"/>
            <w:vAlign w:val="center"/>
          </w:tcPr>
          <w:p>
            <w:pPr>
              <w:widowControl/>
              <w:snapToGrid w:val="0"/>
              <w:jc w:val="center"/>
              <w:rPr>
                <w:rFonts w:eastAsia="仿宋_GB2312"/>
                <w:b/>
                <w:bCs/>
                <w:sz w:val="24"/>
              </w:rPr>
            </w:pPr>
            <w:r>
              <w:rPr>
                <w:rFonts w:eastAsia="仿宋_GB2312"/>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135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14"/>
              <w:widowControl w:val="0"/>
              <w:jc w:val="center"/>
              <w:rPr>
                <w:rFonts w:ascii="仿宋_GB2312" w:hAnsi="Times New Roman" w:eastAsia="仿宋_GB2312"/>
                <w:sz w:val="24"/>
                <w:szCs w:val="24"/>
              </w:rPr>
            </w:pPr>
            <w:r>
              <w:rPr>
                <w:rFonts w:hint="eastAsia" w:ascii="仿宋_GB2312" w:hAnsi="Times New Roman" w:eastAsia="仿宋_GB2312"/>
                <w:sz w:val="24"/>
                <w:szCs w:val="24"/>
              </w:rPr>
              <w:t>1</w:t>
            </w:r>
          </w:p>
        </w:tc>
        <w:tc>
          <w:tcPr>
            <w:tcW w:w="1208" w:type="dxa"/>
            <w:tcBorders>
              <w:top w:val="single" w:color="auto" w:sz="4" w:space="0"/>
              <w:left w:val="nil"/>
              <w:bottom w:val="single" w:color="auto" w:sz="4" w:space="0"/>
              <w:right w:val="single" w:color="auto" w:sz="4" w:space="0"/>
            </w:tcBorders>
            <w:vAlign w:val="center"/>
          </w:tcPr>
          <w:p>
            <w:pPr>
              <w:pStyle w:val="14"/>
              <w:widowControl w:val="0"/>
              <w:jc w:val="center"/>
              <w:rPr>
                <w:rFonts w:ascii="仿宋_GB2312" w:hAnsi="Times New Roman" w:eastAsia="仿宋_GB2312"/>
                <w:sz w:val="24"/>
                <w:szCs w:val="24"/>
              </w:rPr>
            </w:pPr>
            <w:r>
              <w:rPr>
                <w:rFonts w:hint="eastAsia" w:ascii="仿宋_GB2312" w:hAnsi="宋体" w:eastAsia="仿宋_GB2312"/>
                <w:sz w:val="24"/>
                <w:szCs w:val="24"/>
              </w:rPr>
              <w:t>同类项目经验</w:t>
            </w:r>
          </w:p>
        </w:tc>
        <w:tc>
          <w:tcPr>
            <w:tcW w:w="5921" w:type="dxa"/>
            <w:tcBorders>
              <w:top w:val="single" w:color="auto" w:sz="4" w:space="0"/>
              <w:left w:val="nil"/>
              <w:bottom w:val="single" w:color="auto" w:sz="4" w:space="0"/>
              <w:right w:val="single" w:color="auto" w:sz="4" w:space="0"/>
            </w:tcBorders>
            <w:vAlign w:val="center"/>
          </w:tcPr>
          <w:p>
            <w:pPr>
              <w:jc w:val="left"/>
              <w:rPr>
                <w:rFonts w:ascii="仿宋_GB2312" w:eastAsia="仿宋_GB2312"/>
                <w:sz w:val="24"/>
              </w:rPr>
            </w:pPr>
            <w:r>
              <w:rPr>
                <w:rFonts w:hint="eastAsia" w:ascii="仿宋_GB2312" w:eastAsia="仿宋_GB2312"/>
                <w:kern w:val="0"/>
                <w:sz w:val="24"/>
              </w:rPr>
              <w:t>投</w:t>
            </w:r>
            <w:r>
              <w:rPr>
                <w:rFonts w:hint="eastAsia" w:ascii="仿宋_GB2312" w:hAnsi="宋体" w:eastAsia="仿宋_GB2312"/>
                <w:sz w:val="24"/>
              </w:rPr>
              <w:t>标人在202</w:t>
            </w:r>
            <w:r>
              <w:rPr>
                <w:rFonts w:hint="eastAsia" w:ascii="仿宋_GB2312" w:hAnsi="宋体" w:eastAsia="仿宋_GB2312"/>
                <w:sz w:val="24"/>
                <w:lang w:val="en-US" w:eastAsia="zh-CN"/>
              </w:rPr>
              <w:t>2</w:t>
            </w:r>
            <w:r>
              <w:rPr>
                <w:rFonts w:hint="eastAsia" w:ascii="仿宋_GB2312" w:hAnsi="宋体" w:eastAsia="仿宋_GB2312"/>
                <w:sz w:val="24"/>
              </w:rPr>
              <w:t>年以来内承接</w:t>
            </w:r>
            <w:r>
              <w:rPr>
                <w:rFonts w:hint="eastAsia" w:ascii="仿宋_GB2312" w:eastAsia="仿宋_GB2312"/>
                <w:sz w:val="24"/>
              </w:rPr>
              <w:t>的</w:t>
            </w:r>
            <w:r>
              <w:rPr>
                <w:rFonts w:hint="eastAsia" w:ascii="仿宋_GB2312" w:hAnsi="宋体" w:eastAsia="仿宋_GB2312"/>
                <w:sz w:val="24"/>
              </w:rPr>
              <w:t>与本项目采购内容相关项目业绩，每项得5 分，提供合同复印件，分公司投标的，总公司业绩不可纳入评审，最高得15分。</w:t>
            </w:r>
          </w:p>
        </w:tc>
        <w:tc>
          <w:tcPr>
            <w:tcW w:w="708" w:type="dxa"/>
            <w:tcBorders>
              <w:top w:val="single" w:color="auto" w:sz="4" w:space="0"/>
              <w:left w:val="nil"/>
              <w:bottom w:val="single" w:color="auto" w:sz="4" w:space="0"/>
              <w:right w:val="single" w:color="auto" w:sz="4" w:space="0"/>
            </w:tcBorders>
            <w:vAlign w:val="center"/>
          </w:tcPr>
          <w:p>
            <w:pPr>
              <w:jc w:val="center"/>
              <w:rPr>
                <w:rFonts w:eastAsia="仿宋_GB2312"/>
                <w:sz w:val="24"/>
              </w:rPr>
            </w:pPr>
            <w:r>
              <w:rPr>
                <w:rFonts w:hint="eastAsia" w:eastAsia="仿宋_GB2312"/>
                <w:kern w:val="0"/>
                <w:sz w:val="24"/>
              </w:rPr>
              <w:t>15</w:t>
            </w:r>
          </w:p>
        </w:tc>
        <w:tc>
          <w:tcPr>
            <w:tcW w:w="906" w:type="dxa"/>
            <w:tcBorders>
              <w:top w:val="single" w:color="auto" w:sz="4" w:space="0"/>
              <w:left w:val="nil"/>
              <w:bottom w:val="single" w:color="auto" w:sz="4" w:space="0"/>
              <w:right w:val="single" w:color="auto" w:sz="4" w:space="0"/>
            </w:tcBorders>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110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2</w:t>
            </w:r>
          </w:p>
        </w:tc>
        <w:tc>
          <w:tcPr>
            <w:tcW w:w="1208" w:type="dxa"/>
            <w:tcBorders>
              <w:top w:val="single" w:color="auto" w:sz="4" w:space="0"/>
              <w:left w:val="nil"/>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hAnsi="宋体" w:eastAsia="仿宋_GB2312"/>
                <w:sz w:val="24"/>
              </w:rPr>
              <w:t>企业信誉</w:t>
            </w:r>
          </w:p>
        </w:tc>
        <w:tc>
          <w:tcPr>
            <w:tcW w:w="5921" w:type="dxa"/>
            <w:tcBorders>
              <w:top w:val="single" w:color="auto" w:sz="4" w:space="0"/>
              <w:left w:val="nil"/>
              <w:bottom w:val="single" w:color="auto" w:sz="4" w:space="0"/>
              <w:right w:val="single" w:color="auto" w:sz="4" w:space="0"/>
            </w:tcBorders>
            <w:vAlign w:val="center"/>
          </w:tcPr>
          <w:p>
            <w:pPr>
              <w:jc w:val="left"/>
              <w:rPr>
                <w:rFonts w:ascii="仿宋_GB2312" w:eastAsia="仿宋_GB2312"/>
                <w:kern w:val="0"/>
                <w:sz w:val="24"/>
              </w:rPr>
            </w:pPr>
            <w:r>
              <w:rPr>
                <w:rFonts w:hint="eastAsia" w:ascii="仿宋_GB2312" w:hAnsi="宋体" w:eastAsia="仿宋_GB2312"/>
                <w:sz w:val="24"/>
              </w:rPr>
              <w:t>投标人获得工商部门202</w:t>
            </w:r>
            <w:r>
              <w:rPr>
                <w:rFonts w:hint="eastAsia" w:ascii="仿宋_GB2312" w:hAnsi="宋体" w:eastAsia="仿宋_GB2312"/>
                <w:sz w:val="24"/>
                <w:lang w:val="en-US" w:eastAsia="zh-CN"/>
              </w:rPr>
              <w:t>2</w:t>
            </w:r>
            <w:r>
              <w:rPr>
                <w:rFonts w:hint="eastAsia" w:ascii="仿宋_GB2312" w:hAnsi="宋体" w:eastAsia="仿宋_GB2312"/>
                <w:sz w:val="24"/>
              </w:rPr>
              <w:t>年以来颁发或印证的连续“守合同重信用企业”荣誉，提供证书复印件，得5分，原件核查。</w:t>
            </w:r>
          </w:p>
        </w:tc>
        <w:tc>
          <w:tcPr>
            <w:tcW w:w="708" w:type="dxa"/>
            <w:tcBorders>
              <w:top w:val="single" w:color="auto" w:sz="4" w:space="0"/>
              <w:left w:val="nil"/>
              <w:bottom w:val="single" w:color="auto" w:sz="4" w:space="0"/>
              <w:right w:val="single" w:color="auto" w:sz="4" w:space="0"/>
            </w:tcBorders>
            <w:vAlign w:val="center"/>
          </w:tcPr>
          <w:p>
            <w:pPr>
              <w:snapToGrid w:val="0"/>
              <w:jc w:val="center"/>
              <w:rPr>
                <w:rFonts w:eastAsia="仿宋_GB2312"/>
                <w:kern w:val="0"/>
                <w:sz w:val="24"/>
              </w:rPr>
            </w:pPr>
            <w:r>
              <w:rPr>
                <w:rFonts w:hint="eastAsia" w:eastAsia="仿宋_GB2312"/>
                <w:kern w:val="0"/>
                <w:sz w:val="24"/>
              </w:rPr>
              <w:t>5</w:t>
            </w:r>
          </w:p>
        </w:tc>
        <w:tc>
          <w:tcPr>
            <w:tcW w:w="906" w:type="dxa"/>
            <w:tcBorders>
              <w:top w:val="single" w:color="auto" w:sz="4" w:space="0"/>
              <w:left w:val="nil"/>
              <w:bottom w:val="single" w:color="auto" w:sz="4" w:space="0"/>
              <w:right w:val="single" w:color="auto" w:sz="4" w:space="0"/>
            </w:tcBorders>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01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3</w:t>
            </w:r>
          </w:p>
        </w:tc>
        <w:tc>
          <w:tcPr>
            <w:tcW w:w="120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纳税信用等级</w:t>
            </w:r>
          </w:p>
        </w:tc>
        <w:tc>
          <w:tcPr>
            <w:tcW w:w="5921"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投标人提供税务部门认定的202</w:t>
            </w:r>
            <w:r>
              <w:rPr>
                <w:rFonts w:hint="eastAsia" w:ascii="仿宋_GB2312" w:hAnsi="宋体" w:eastAsia="仿宋_GB2312"/>
                <w:sz w:val="24"/>
                <w:lang w:val="en-US" w:eastAsia="zh-CN"/>
              </w:rPr>
              <w:t>2</w:t>
            </w:r>
            <w:r>
              <w:rPr>
                <w:rFonts w:hint="eastAsia" w:ascii="仿宋_GB2312" w:hAnsi="宋体" w:eastAsia="仿宋_GB2312"/>
                <w:sz w:val="24"/>
              </w:rPr>
              <w:t>年度以来企业纳税信用等级，提供证明材料复印件或电子政务网站截图：</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获评A 级，得5 分；</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获评B 级，得3 分；</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获评M 级，得2 分；</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获评C 级或D 级，得0 分。</w:t>
            </w:r>
          </w:p>
        </w:tc>
        <w:tc>
          <w:tcPr>
            <w:tcW w:w="708" w:type="dxa"/>
            <w:tcBorders>
              <w:top w:val="single" w:color="auto" w:sz="4" w:space="0"/>
              <w:left w:val="nil"/>
              <w:bottom w:val="single" w:color="auto" w:sz="4" w:space="0"/>
              <w:right w:val="single" w:color="auto" w:sz="4" w:space="0"/>
            </w:tcBorders>
            <w:vAlign w:val="center"/>
          </w:tcPr>
          <w:p>
            <w:pPr>
              <w:snapToGrid w:val="0"/>
              <w:jc w:val="center"/>
              <w:rPr>
                <w:rFonts w:eastAsia="仿宋_GB2312"/>
                <w:kern w:val="0"/>
                <w:sz w:val="24"/>
              </w:rPr>
            </w:pPr>
            <w:r>
              <w:rPr>
                <w:rFonts w:hint="eastAsia" w:eastAsia="仿宋_GB2312"/>
                <w:kern w:val="0"/>
                <w:sz w:val="24"/>
              </w:rPr>
              <w:t>5</w:t>
            </w:r>
          </w:p>
        </w:tc>
        <w:tc>
          <w:tcPr>
            <w:tcW w:w="906" w:type="dxa"/>
            <w:tcBorders>
              <w:top w:val="single" w:color="auto" w:sz="4" w:space="0"/>
              <w:left w:val="nil"/>
              <w:bottom w:val="single" w:color="auto" w:sz="4" w:space="0"/>
              <w:right w:val="single" w:color="auto" w:sz="4" w:space="0"/>
            </w:tcBorders>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333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rPr>
            </w:pPr>
            <w:r>
              <w:rPr>
                <w:rFonts w:hint="eastAsia" w:ascii="仿宋_GB2312" w:eastAsia="仿宋_GB2312"/>
                <w:kern w:val="0"/>
                <w:sz w:val="24"/>
              </w:rPr>
              <w:t>4</w:t>
            </w:r>
          </w:p>
        </w:tc>
        <w:tc>
          <w:tcPr>
            <w:tcW w:w="120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管理体系认证</w:t>
            </w:r>
          </w:p>
        </w:tc>
        <w:tc>
          <w:tcPr>
            <w:tcW w:w="5921"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投标人每具备以下1 项的得2 分，提供认证证书复印件、中国国家认证认可监督管理委员会官方网站（cx.cnca.cn，简称认监委）查询结果状态为“有效”的证书详情截图，最高得6分，原件核查，非有效状态或缺原件均不得分：</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质量管理体系认证；</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环境管理体系认证；</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职业健康安全管理体系认证；</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食品安全管理体系认证；</w:t>
            </w:r>
          </w:p>
          <w:p>
            <w:pPr>
              <w:jc w:val="left"/>
              <w:rPr>
                <w:rFonts w:ascii="仿宋_GB2312" w:hAnsi="Wingdings-Regular"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危害分析与关键控制点认证。</w:t>
            </w:r>
          </w:p>
        </w:tc>
        <w:tc>
          <w:tcPr>
            <w:tcW w:w="708" w:type="dxa"/>
            <w:tcBorders>
              <w:top w:val="single" w:color="auto" w:sz="4" w:space="0"/>
              <w:left w:val="nil"/>
              <w:bottom w:val="single" w:color="auto" w:sz="4" w:space="0"/>
              <w:right w:val="single" w:color="auto" w:sz="4" w:space="0"/>
            </w:tcBorders>
            <w:vAlign w:val="center"/>
          </w:tcPr>
          <w:p>
            <w:pPr>
              <w:snapToGrid w:val="0"/>
              <w:jc w:val="center"/>
              <w:rPr>
                <w:rFonts w:eastAsia="仿宋_GB2312"/>
                <w:kern w:val="0"/>
                <w:sz w:val="24"/>
              </w:rPr>
            </w:pPr>
            <w:r>
              <w:rPr>
                <w:rFonts w:hint="eastAsia" w:eastAsia="仿宋_GB2312"/>
                <w:kern w:val="0"/>
                <w:sz w:val="24"/>
              </w:rPr>
              <w:t>6</w:t>
            </w:r>
          </w:p>
        </w:tc>
        <w:tc>
          <w:tcPr>
            <w:tcW w:w="906" w:type="dxa"/>
            <w:tcBorders>
              <w:top w:val="single" w:color="auto" w:sz="4" w:space="0"/>
              <w:left w:val="nil"/>
              <w:bottom w:val="single" w:color="auto" w:sz="4" w:space="0"/>
              <w:right w:val="single" w:color="auto" w:sz="4" w:space="0"/>
            </w:tcBorders>
            <w:vAlign w:val="center"/>
          </w:tcPr>
          <w:p>
            <w:pPr>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90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5</w:t>
            </w:r>
          </w:p>
        </w:tc>
        <w:tc>
          <w:tcPr>
            <w:tcW w:w="1208"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4"/>
              </w:rPr>
            </w:pPr>
            <w:r>
              <w:rPr>
                <w:rFonts w:hint="eastAsia" w:ascii="仿宋_GB2312" w:hAnsi="宋体" w:eastAsia="仿宋_GB2312"/>
                <w:sz w:val="24"/>
              </w:rPr>
              <w:t>应急响应服务便捷性</w:t>
            </w:r>
          </w:p>
        </w:tc>
        <w:tc>
          <w:tcPr>
            <w:tcW w:w="5921"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按高德地图行车距离计算投标人服务机构与广州市海珠区仲恺路628号的最短距离（投标人服务机构所在地对应的营业执照、房产证、法定有效的房屋租赁登记备案证明的其中任意一种即可，主体与投标人名称不符的无效）。</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0&lt;距离&lt;30 公里的，得5 分；</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30 公里&lt;=距离&lt;=60 公里的，得3分；</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60 公里以上的，得1 分；</w:t>
            </w:r>
          </w:p>
          <w:p>
            <w:pPr>
              <w:jc w:val="left"/>
              <w:rPr>
                <w:rFonts w:ascii="仿宋_GB2312"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未提供，得0 分。</w:t>
            </w:r>
          </w:p>
        </w:tc>
        <w:tc>
          <w:tcPr>
            <w:tcW w:w="708" w:type="dxa"/>
            <w:tcBorders>
              <w:top w:val="single" w:color="auto" w:sz="4" w:space="0"/>
              <w:left w:val="nil"/>
              <w:bottom w:val="single" w:color="auto" w:sz="4" w:space="0"/>
              <w:right w:val="single" w:color="auto" w:sz="4" w:space="0"/>
            </w:tcBorders>
            <w:vAlign w:val="center"/>
          </w:tcPr>
          <w:p>
            <w:pPr>
              <w:jc w:val="center"/>
              <w:rPr>
                <w:rFonts w:eastAsia="仿宋_GB2312"/>
                <w:kern w:val="0"/>
                <w:sz w:val="24"/>
              </w:rPr>
            </w:pPr>
            <w:r>
              <w:rPr>
                <w:rFonts w:hint="eastAsia" w:eastAsia="仿宋_GB2312"/>
                <w:kern w:val="0"/>
                <w:sz w:val="24"/>
              </w:rPr>
              <w:t>5</w:t>
            </w:r>
          </w:p>
        </w:tc>
        <w:tc>
          <w:tcPr>
            <w:tcW w:w="906" w:type="dxa"/>
            <w:tcBorders>
              <w:top w:val="single" w:color="auto" w:sz="4" w:space="0"/>
              <w:left w:val="nil"/>
              <w:bottom w:val="single" w:color="auto" w:sz="4" w:space="0"/>
              <w:right w:val="single" w:color="auto" w:sz="4" w:space="0"/>
            </w:tcBorders>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66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6</w:t>
            </w:r>
          </w:p>
        </w:tc>
        <w:tc>
          <w:tcPr>
            <w:tcW w:w="1208"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宋体" w:eastAsia="仿宋_GB2312"/>
                <w:sz w:val="24"/>
              </w:rPr>
              <w:t>运输保障能力</w:t>
            </w:r>
          </w:p>
        </w:tc>
        <w:tc>
          <w:tcPr>
            <w:tcW w:w="5921"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提供所有人为投标人或其所属分公司的自有货车行驶证复印件，租赁车辆的必须提交租赁合同及投标截止日前三个月的租赁费发票复印件，最高得</w:t>
            </w:r>
            <w:r>
              <w:rPr>
                <w:rFonts w:hint="eastAsia" w:ascii="仿宋_GB2312" w:hAnsi="Calibri" w:eastAsia="仿宋_GB2312"/>
                <w:sz w:val="24"/>
              </w:rPr>
              <w:t>5</w:t>
            </w:r>
            <w:r>
              <w:rPr>
                <w:rFonts w:hint="eastAsia" w:ascii="仿宋_GB2312" w:hAnsi="宋体" w:eastAsia="仿宋_GB2312"/>
                <w:sz w:val="24"/>
              </w:rPr>
              <w:t>分：</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超过</w:t>
            </w:r>
            <w:r>
              <w:rPr>
                <w:rFonts w:hint="eastAsia" w:ascii="仿宋_GB2312" w:hAnsi="Calibri" w:eastAsia="仿宋_GB2312"/>
                <w:sz w:val="24"/>
              </w:rPr>
              <w:t xml:space="preserve">5 </w:t>
            </w:r>
            <w:r>
              <w:rPr>
                <w:rFonts w:hint="eastAsia" w:ascii="仿宋_GB2312" w:hAnsi="宋体" w:eastAsia="仿宋_GB2312"/>
                <w:sz w:val="24"/>
              </w:rPr>
              <w:t>台自有货车，得</w:t>
            </w:r>
            <w:r>
              <w:rPr>
                <w:rFonts w:hint="eastAsia" w:ascii="仿宋_GB2312" w:hAnsi="Calibri" w:eastAsia="仿宋_GB2312"/>
                <w:sz w:val="24"/>
              </w:rPr>
              <w:t>10</w:t>
            </w:r>
            <w:r>
              <w:rPr>
                <w:rFonts w:hint="eastAsia" w:ascii="仿宋_GB2312" w:hAnsi="宋体" w:eastAsia="仿宋_GB2312"/>
                <w:sz w:val="24"/>
              </w:rPr>
              <w:t>分；</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Calibri" w:eastAsia="仿宋_GB2312"/>
                <w:sz w:val="24"/>
              </w:rPr>
              <w:t>4</w:t>
            </w:r>
            <w:r>
              <w:rPr>
                <w:rFonts w:hint="eastAsia" w:ascii="仿宋_GB2312" w:hAnsi="Calibri" w:eastAsia="Calibri"/>
                <w:sz w:val="24"/>
              </w:rPr>
              <w:t>‐</w:t>
            </w:r>
            <w:r>
              <w:rPr>
                <w:rFonts w:hint="eastAsia" w:ascii="仿宋_GB2312" w:hAnsi="Calibri" w:eastAsia="仿宋_GB2312"/>
                <w:sz w:val="24"/>
              </w:rPr>
              <w:t xml:space="preserve">5 </w:t>
            </w:r>
            <w:r>
              <w:rPr>
                <w:rFonts w:hint="eastAsia" w:ascii="仿宋_GB2312" w:hAnsi="宋体" w:eastAsia="仿宋_GB2312"/>
                <w:sz w:val="24"/>
              </w:rPr>
              <w:t>台自有货车，得</w:t>
            </w:r>
            <w:r>
              <w:rPr>
                <w:rFonts w:hint="eastAsia" w:ascii="仿宋_GB2312" w:hAnsi="Calibri" w:eastAsia="仿宋_GB2312"/>
                <w:sz w:val="24"/>
              </w:rPr>
              <w:t xml:space="preserve">8 </w:t>
            </w:r>
            <w:r>
              <w:rPr>
                <w:rFonts w:hint="eastAsia" w:ascii="仿宋_GB2312" w:hAnsi="宋体" w:eastAsia="仿宋_GB2312"/>
                <w:sz w:val="24"/>
              </w:rPr>
              <w:t>分；</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Calibri" w:eastAsia="仿宋_GB2312"/>
                <w:sz w:val="24"/>
              </w:rPr>
              <w:t>2</w:t>
            </w:r>
            <w:r>
              <w:rPr>
                <w:rFonts w:hint="eastAsia" w:ascii="仿宋_GB2312" w:hAnsi="Calibri" w:eastAsia="Calibri"/>
                <w:sz w:val="24"/>
              </w:rPr>
              <w:t>‐</w:t>
            </w:r>
            <w:r>
              <w:rPr>
                <w:rFonts w:hint="eastAsia" w:ascii="仿宋_GB2312" w:hAnsi="Calibri" w:eastAsia="仿宋_GB2312"/>
                <w:sz w:val="24"/>
              </w:rPr>
              <w:t xml:space="preserve">3 </w:t>
            </w:r>
            <w:r>
              <w:rPr>
                <w:rFonts w:hint="eastAsia" w:ascii="仿宋_GB2312" w:hAnsi="宋体" w:eastAsia="仿宋_GB2312"/>
                <w:sz w:val="24"/>
              </w:rPr>
              <w:t>台自有货车，得</w:t>
            </w:r>
            <w:r>
              <w:rPr>
                <w:rFonts w:hint="eastAsia" w:ascii="仿宋_GB2312" w:hAnsi="Calibri" w:eastAsia="仿宋_GB2312"/>
                <w:sz w:val="24"/>
              </w:rPr>
              <w:t>5</w:t>
            </w:r>
            <w:r>
              <w:rPr>
                <w:rFonts w:hint="eastAsia" w:ascii="仿宋_GB2312" w:hAnsi="宋体" w:eastAsia="仿宋_GB2312"/>
                <w:sz w:val="24"/>
              </w:rPr>
              <w:t>分；</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Calibri" w:eastAsia="仿宋_GB2312"/>
                <w:sz w:val="24"/>
              </w:rPr>
              <w:t xml:space="preserve">1 </w:t>
            </w:r>
            <w:r>
              <w:rPr>
                <w:rFonts w:hint="eastAsia" w:ascii="仿宋_GB2312" w:hAnsi="宋体" w:eastAsia="仿宋_GB2312"/>
                <w:sz w:val="24"/>
              </w:rPr>
              <w:t>台自有货车，得</w:t>
            </w:r>
            <w:r>
              <w:rPr>
                <w:rFonts w:hint="eastAsia" w:ascii="仿宋_GB2312" w:hAnsi="Calibri" w:eastAsia="仿宋_GB2312"/>
                <w:sz w:val="24"/>
              </w:rPr>
              <w:t xml:space="preserve">2 </w:t>
            </w:r>
            <w:r>
              <w:rPr>
                <w:rFonts w:hint="eastAsia" w:ascii="仿宋_GB2312" w:hAnsi="宋体" w:eastAsia="仿宋_GB2312"/>
                <w:sz w:val="24"/>
              </w:rPr>
              <w:t>分；</w:t>
            </w:r>
          </w:p>
          <w:p>
            <w:pPr>
              <w:jc w:val="left"/>
              <w:rPr>
                <w:rFonts w:ascii="仿宋_GB2312"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未提供，得</w:t>
            </w:r>
            <w:r>
              <w:rPr>
                <w:rFonts w:hint="eastAsia" w:ascii="仿宋_GB2312" w:hAnsi="Calibri" w:eastAsia="仿宋_GB2312"/>
                <w:sz w:val="24"/>
              </w:rPr>
              <w:t xml:space="preserve">0 </w:t>
            </w:r>
            <w:r>
              <w:rPr>
                <w:rFonts w:hint="eastAsia" w:ascii="仿宋_GB2312" w:hAnsi="宋体" w:eastAsia="仿宋_GB2312"/>
                <w:sz w:val="24"/>
              </w:rPr>
              <w:t>分。</w:t>
            </w:r>
          </w:p>
        </w:tc>
        <w:tc>
          <w:tcPr>
            <w:tcW w:w="708" w:type="dxa"/>
            <w:tcBorders>
              <w:top w:val="single" w:color="auto" w:sz="4" w:space="0"/>
              <w:left w:val="nil"/>
              <w:bottom w:val="single" w:color="auto" w:sz="4" w:space="0"/>
              <w:right w:val="single" w:color="auto" w:sz="4" w:space="0"/>
            </w:tcBorders>
            <w:vAlign w:val="center"/>
          </w:tcPr>
          <w:p>
            <w:pPr>
              <w:jc w:val="center"/>
              <w:rPr>
                <w:rFonts w:eastAsia="仿宋_GB2312"/>
                <w:kern w:val="0"/>
                <w:sz w:val="24"/>
              </w:rPr>
            </w:pPr>
            <w:r>
              <w:rPr>
                <w:rFonts w:hint="eastAsia" w:eastAsia="仿宋_GB2312"/>
                <w:kern w:val="0"/>
                <w:sz w:val="24"/>
              </w:rPr>
              <w:t>10</w:t>
            </w:r>
          </w:p>
        </w:tc>
        <w:tc>
          <w:tcPr>
            <w:tcW w:w="906" w:type="dxa"/>
            <w:tcBorders>
              <w:top w:val="single" w:color="auto" w:sz="4" w:space="0"/>
              <w:left w:val="nil"/>
              <w:bottom w:val="single" w:color="auto" w:sz="4" w:space="0"/>
              <w:right w:val="single" w:color="auto" w:sz="4" w:space="0"/>
            </w:tcBorders>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147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7</w:t>
            </w:r>
          </w:p>
        </w:tc>
        <w:tc>
          <w:tcPr>
            <w:tcW w:w="120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投入生鲜食材能力</w:t>
            </w:r>
          </w:p>
        </w:tc>
        <w:tc>
          <w:tcPr>
            <w:tcW w:w="5921"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拥有生鲜食材采购链，于每次下单时至配送前购买所需食材，提供相关证明材料，确保所有食材新鲜；或有与大型市场合作的，须提供有效合作合同复印件，得20分。</w:t>
            </w:r>
          </w:p>
        </w:tc>
        <w:tc>
          <w:tcPr>
            <w:tcW w:w="708" w:type="dxa"/>
            <w:tcBorders>
              <w:top w:val="single" w:color="auto" w:sz="4" w:space="0"/>
              <w:left w:val="nil"/>
              <w:bottom w:val="single" w:color="auto" w:sz="4" w:space="0"/>
              <w:right w:val="single" w:color="auto" w:sz="4" w:space="0"/>
            </w:tcBorders>
            <w:vAlign w:val="center"/>
          </w:tcPr>
          <w:p>
            <w:pPr>
              <w:jc w:val="center"/>
              <w:rPr>
                <w:rFonts w:eastAsia="仿宋_GB2312"/>
                <w:kern w:val="0"/>
                <w:sz w:val="24"/>
              </w:rPr>
            </w:pPr>
            <w:r>
              <w:rPr>
                <w:rFonts w:hint="eastAsia" w:eastAsia="仿宋_GB2312"/>
                <w:kern w:val="0"/>
                <w:sz w:val="24"/>
              </w:rPr>
              <w:t>20</w:t>
            </w:r>
          </w:p>
        </w:tc>
        <w:tc>
          <w:tcPr>
            <w:tcW w:w="906" w:type="dxa"/>
            <w:tcBorders>
              <w:top w:val="single" w:color="auto" w:sz="4" w:space="0"/>
              <w:left w:val="nil"/>
              <w:bottom w:val="single" w:color="auto" w:sz="4" w:space="0"/>
              <w:right w:val="single" w:color="auto" w:sz="4" w:space="0"/>
            </w:tcBorders>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64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8</w:t>
            </w:r>
          </w:p>
        </w:tc>
        <w:tc>
          <w:tcPr>
            <w:tcW w:w="120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拟投入的冷藏冷冻仓储</w:t>
            </w:r>
          </w:p>
        </w:tc>
        <w:tc>
          <w:tcPr>
            <w:tcW w:w="5921"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投标人提供冷藏冷冻仓库面积证明文件，必须提供仓库所在地对应的房产证复印件或租赁合同复印件、采购冷库的发票复印件。</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冷库容积</w:t>
            </w:r>
            <w:r>
              <w:rPr>
                <w:rFonts w:hint="eastAsia" w:ascii="仿宋_GB2312" w:hAnsi="Calibri" w:eastAsia="仿宋_GB2312"/>
                <w:sz w:val="24"/>
              </w:rPr>
              <w:t xml:space="preserve">&gt;=1500 </w:t>
            </w:r>
            <w:r>
              <w:rPr>
                <w:rFonts w:hint="eastAsia" w:ascii="仿宋_GB2312" w:hAnsi="宋体" w:eastAsia="仿宋_GB2312"/>
                <w:sz w:val="24"/>
              </w:rPr>
              <w:t>立方米或以上，得</w:t>
            </w:r>
            <w:r>
              <w:rPr>
                <w:rFonts w:hint="eastAsia" w:ascii="仿宋_GB2312" w:hAnsi="Calibri" w:eastAsia="仿宋_GB2312"/>
                <w:sz w:val="24"/>
              </w:rPr>
              <w:t>5</w:t>
            </w:r>
            <w:r>
              <w:rPr>
                <w:rFonts w:hint="eastAsia" w:ascii="仿宋_GB2312" w:hAnsi="宋体" w:eastAsia="仿宋_GB2312"/>
                <w:sz w:val="24"/>
              </w:rPr>
              <w:t>分；</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Calibri" w:eastAsia="仿宋_GB2312"/>
                <w:sz w:val="24"/>
              </w:rPr>
              <w:t>1000&lt;=</w:t>
            </w:r>
            <w:r>
              <w:rPr>
                <w:rFonts w:hint="eastAsia" w:ascii="仿宋_GB2312" w:hAnsi="宋体" w:eastAsia="仿宋_GB2312"/>
                <w:sz w:val="24"/>
              </w:rPr>
              <w:t>冷库容积</w:t>
            </w:r>
            <w:r>
              <w:rPr>
                <w:rFonts w:hint="eastAsia" w:ascii="仿宋_GB2312" w:hAnsi="Calibri" w:eastAsia="仿宋_GB2312"/>
                <w:sz w:val="24"/>
              </w:rPr>
              <w:t xml:space="preserve">&lt;1500 </w:t>
            </w:r>
            <w:r>
              <w:rPr>
                <w:rFonts w:hint="eastAsia" w:ascii="仿宋_GB2312" w:hAnsi="宋体" w:eastAsia="仿宋_GB2312"/>
                <w:sz w:val="24"/>
              </w:rPr>
              <w:t>立方米，得</w:t>
            </w:r>
            <w:r>
              <w:rPr>
                <w:rFonts w:hint="eastAsia" w:ascii="仿宋_GB2312" w:hAnsi="Calibri" w:eastAsia="仿宋_GB2312"/>
                <w:sz w:val="24"/>
              </w:rPr>
              <w:t xml:space="preserve">3 </w:t>
            </w:r>
            <w:r>
              <w:rPr>
                <w:rFonts w:hint="eastAsia" w:ascii="仿宋_GB2312" w:hAnsi="宋体" w:eastAsia="仿宋_GB2312"/>
                <w:sz w:val="24"/>
              </w:rPr>
              <w:t>分；</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Calibri" w:eastAsia="仿宋_GB2312"/>
                <w:sz w:val="24"/>
              </w:rPr>
              <w:t>500&lt;=</w:t>
            </w:r>
            <w:r>
              <w:rPr>
                <w:rFonts w:hint="eastAsia" w:ascii="仿宋_GB2312" w:hAnsi="宋体" w:eastAsia="仿宋_GB2312"/>
                <w:sz w:val="24"/>
              </w:rPr>
              <w:t>冷库容积</w:t>
            </w:r>
            <w:r>
              <w:rPr>
                <w:rFonts w:hint="eastAsia" w:ascii="仿宋_GB2312" w:hAnsi="Calibri" w:eastAsia="仿宋_GB2312"/>
                <w:sz w:val="24"/>
              </w:rPr>
              <w:t xml:space="preserve">&lt;1000 </w:t>
            </w:r>
            <w:r>
              <w:rPr>
                <w:rFonts w:hint="eastAsia" w:ascii="仿宋_GB2312" w:hAnsi="宋体" w:eastAsia="仿宋_GB2312"/>
                <w:sz w:val="24"/>
              </w:rPr>
              <w:t>立方米，得</w:t>
            </w:r>
            <w:r>
              <w:rPr>
                <w:rFonts w:hint="eastAsia" w:ascii="仿宋_GB2312" w:hAnsi="Calibri" w:eastAsia="仿宋_GB2312"/>
                <w:sz w:val="24"/>
              </w:rPr>
              <w:t xml:space="preserve">2 </w:t>
            </w:r>
            <w:r>
              <w:rPr>
                <w:rFonts w:hint="eastAsia" w:ascii="仿宋_GB2312" w:hAnsi="宋体" w:eastAsia="仿宋_GB2312"/>
                <w:sz w:val="24"/>
              </w:rPr>
              <w:t>分；</w:t>
            </w:r>
          </w:p>
          <w:p>
            <w:pPr>
              <w:jc w:val="left"/>
              <w:rPr>
                <w:rFonts w:ascii="仿宋_GB2312" w:hAnsi="宋体"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冷库容积</w:t>
            </w:r>
            <w:r>
              <w:rPr>
                <w:rFonts w:hint="eastAsia" w:ascii="仿宋_GB2312" w:hAnsi="Calibri" w:eastAsia="仿宋_GB2312"/>
                <w:sz w:val="24"/>
              </w:rPr>
              <w:t xml:space="preserve">&lt;500 </w:t>
            </w:r>
            <w:r>
              <w:rPr>
                <w:rFonts w:hint="eastAsia" w:ascii="仿宋_GB2312" w:hAnsi="宋体" w:eastAsia="仿宋_GB2312"/>
                <w:sz w:val="24"/>
              </w:rPr>
              <w:t>立方米，得</w:t>
            </w:r>
            <w:r>
              <w:rPr>
                <w:rFonts w:hint="eastAsia" w:ascii="仿宋_GB2312" w:hAnsi="Calibri" w:eastAsia="仿宋_GB2312"/>
                <w:sz w:val="24"/>
              </w:rPr>
              <w:t xml:space="preserve">1 </w:t>
            </w:r>
            <w:r>
              <w:rPr>
                <w:rFonts w:hint="eastAsia" w:ascii="仿宋_GB2312" w:hAnsi="宋体" w:eastAsia="仿宋_GB2312"/>
                <w:sz w:val="24"/>
              </w:rPr>
              <w:t>分；</w:t>
            </w:r>
          </w:p>
          <w:p>
            <w:pPr>
              <w:jc w:val="left"/>
              <w:rPr>
                <w:rFonts w:ascii="仿宋_GB2312" w:hAnsi="Wingdings-Regular" w:eastAsia="仿宋_GB2312"/>
                <w:sz w:val="24"/>
              </w:rPr>
            </w:pPr>
            <w:r>
              <w:rPr>
                <w:rFonts w:hint="eastAsia" w:ascii="仿宋_GB2312" w:hAnsi="Wingdings-Regular" w:eastAsia="仿宋_GB2312"/>
                <w:sz w:val="24"/>
              </w:rPr>
              <w:t xml:space="preserve"> </w:t>
            </w:r>
            <w:r>
              <w:rPr>
                <w:rFonts w:hint="eastAsia" w:ascii="仿宋_GB2312" w:hAnsi="宋体" w:eastAsia="仿宋_GB2312"/>
                <w:sz w:val="24"/>
              </w:rPr>
              <w:t>未提供，得</w:t>
            </w:r>
            <w:r>
              <w:rPr>
                <w:rFonts w:hint="eastAsia" w:ascii="仿宋_GB2312" w:hAnsi="Calibri" w:eastAsia="仿宋_GB2312"/>
                <w:sz w:val="24"/>
              </w:rPr>
              <w:t xml:space="preserve">0 </w:t>
            </w:r>
            <w:r>
              <w:rPr>
                <w:rFonts w:hint="eastAsia" w:ascii="仿宋_GB2312" w:hAnsi="宋体" w:eastAsia="仿宋_GB2312"/>
                <w:sz w:val="24"/>
              </w:rPr>
              <w:t>分。</w:t>
            </w:r>
          </w:p>
        </w:tc>
        <w:tc>
          <w:tcPr>
            <w:tcW w:w="708" w:type="dxa"/>
            <w:tcBorders>
              <w:top w:val="single" w:color="auto" w:sz="4" w:space="0"/>
              <w:left w:val="nil"/>
              <w:bottom w:val="single" w:color="auto" w:sz="4" w:space="0"/>
              <w:right w:val="single" w:color="auto" w:sz="4" w:space="0"/>
            </w:tcBorders>
            <w:vAlign w:val="center"/>
          </w:tcPr>
          <w:p>
            <w:pPr>
              <w:jc w:val="center"/>
              <w:rPr>
                <w:rFonts w:eastAsia="仿宋_GB2312"/>
                <w:kern w:val="0"/>
                <w:sz w:val="24"/>
              </w:rPr>
            </w:pPr>
            <w:r>
              <w:rPr>
                <w:rFonts w:hint="eastAsia" w:eastAsia="仿宋_GB2312"/>
                <w:kern w:val="0"/>
                <w:sz w:val="24"/>
              </w:rPr>
              <w:t>5</w:t>
            </w:r>
          </w:p>
        </w:tc>
        <w:tc>
          <w:tcPr>
            <w:tcW w:w="906" w:type="dxa"/>
            <w:tcBorders>
              <w:top w:val="single" w:color="auto" w:sz="4" w:space="0"/>
              <w:left w:val="nil"/>
              <w:bottom w:val="single" w:color="auto" w:sz="4" w:space="0"/>
              <w:right w:val="single" w:color="auto" w:sz="4" w:space="0"/>
            </w:tcBorders>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167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9</w:t>
            </w:r>
          </w:p>
        </w:tc>
        <w:tc>
          <w:tcPr>
            <w:tcW w:w="120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拟投入的服务团队配备情况</w:t>
            </w:r>
          </w:p>
        </w:tc>
        <w:tc>
          <w:tcPr>
            <w:tcW w:w="5921"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提供为本项目配备的服务人员的经验、资质相关证明文件复印件及投标截止日前六个月内任意一个月在投标人单位的社保证明复印件，最高得4分。</w:t>
            </w:r>
          </w:p>
          <w:p>
            <w:pPr>
              <w:jc w:val="left"/>
              <w:rPr>
                <w:rFonts w:ascii="仿宋_GB2312" w:hAnsi="Wingdings-Regular" w:eastAsia="仿宋_GB2312"/>
                <w:sz w:val="24"/>
              </w:rPr>
            </w:pPr>
            <w:r>
              <w:rPr>
                <w:rFonts w:hint="eastAsia" w:ascii="仿宋_GB2312" w:hAnsi="宋体" w:eastAsia="仿宋_GB2312"/>
                <w:sz w:val="24"/>
              </w:rPr>
              <w:t>每提供1 名食品安全管理员得2 分，最高得4 分；</w:t>
            </w:r>
          </w:p>
        </w:tc>
        <w:tc>
          <w:tcPr>
            <w:tcW w:w="708" w:type="dxa"/>
            <w:tcBorders>
              <w:top w:val="single" w:color="auto" w:sz="4" w:space="0"/>
              <w:left w:val="nil"/>
              <w:bottom w:val="single" w:color="auto" w:sz="4" w:space="0"/>
              <w:right w:val="single" w:color="auto" w:sz="4" w:space="0"/>
            </w:tcBorders>
            <w:vAlign w:val="center"/>
          </w:tcPr>
          <w:p>
            <w:pPr>
              <w:jc w:val="center"/>
              <w:rPr>
                <w:rFonts w:eastAsia="仿宋_GB2312"/>
                <w:kern w:val="0"/>
                <w:sz w:val="24"/>
              </w:rPr>
            </w:pPr>
            <w:r>
              <w:rPr>
                <w:rFonts w:hint="eastAsia" w:eastAsia="仿宋_GB2312"/>
                <w:kern w:val="0"/>
                <w:sz w:val="24"/>
              </w:rPr>
              <w:t>4</w:t>
            </w:r>
          </w:p>
        </w:tc>
        <w:tc>
          <w:tcPr>
            <w:tcW w:w="906" w:type="dxa"/>
            <w:tcBorders>
              <w:top w:val="single" w:color="auto" w:sz="4" w:space="0"/>
              <w:left w:val="nil"/>
              <w:bottom w:val="single" w:color="auto" w:sz="4" w:space="0"/>
              <w:right w:val="single" w:color="auto" w:sz="4" w:space="0"/>
            </w:tcBorders>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448"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10</w:t>
            </w:r>
          </w:p>
        </w:tc>
        <w:tc>
          <w:tcPr>
            <w:tcW w:w="1208"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食品安全保障</w:t>
            </w:r>
          </w:p>
        </w:tc>
        <w:tc>
          <w:tcPr>
            <w:tcW w:w="5921"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投标人承诺建立配送采购人食材的追踪溯源体系及专门台账档案，得5分。</w:t>
            </w:r>
          </w:p>
          <w:p>
            <w:pPr>
              <w:jc w:val="left"/>
              <w:rPr>
                <w:rFonts w:ascii="仿宋_GB2312" w:hAnsi="宋体" w:eastAsia="仿宋_GB2312"/>
                <w:sz w:val="24"/>
              </w:rPr>
            </w:pPr>
            <w:r>
              <w:rPr>
                <w:rFonts w:hint="eastAsia" w:ascii="仿宋_GB2312" w:hAnsi="宋体" w:eastAsia="仿宋_GB2312"/>
                <w:sz w:val="24"/>
              </w:rPr>
              <w:t>投标人能提供肉类、蔬菜、粮食、水果、水产品、副食品等的检验合格质检报告，每提供一项原材料报告得5分，最高得分为10分，同类原材料重复提供不重复计分。</w:t>
            </w:r>
          </w:p>
        </w:tc>
        <w:tc>
          <w:tcPr>
            <w:tcW w:w="708" w:type="dxa"/>
            <w:tcBorders>
              <w:top w:val="single" w:color="auto" w:sz="4" w:space="0"/>
              <w:left w:val="nil"/>
              <w:bottom w:val="single" w:color="auto" w:sz="4" w:space="0"/>
              <w:right w:val="single" w:color="auto" w:sz="4" w:space="0"/>
            </w:tcBorders>
            <w:vAlign w:val="center"/>
          </w:tcPr>
          <w:p>
            <w:pPr>
              <w:jc w:val="center"/>
              <w:rPr>
                <w:rFonts w:eastAsia="仿宋_GB2312"/>
                <w:kern w:val="0"/>
                <w:sz w:val="24"/>
              </w:rPr>
            </w:pPr>
            <w:r>
              <w:rPr>
                <w:rFonts w:hint="eastAsia" w:eastAsia="仿宋_GB2312"/>
                <w:kern w:val="0"/>
                <w:sz w:val="24"/>
              </w:rPr>
              <w:t>15</w:t>
            </w:r>
          </w:p>
        </w:tc>
        <w:tc>
          <w:tcPr>
            <w:tcW w:w="906" w:type="dxa"/>
            <w:tcBorders>
              <w:top w:val="single" w:color="auto" w:sz="4" w:space="0"/>
              <w:left w:val="nil"/>
              <w:bottom w:val="single" w:color="auto" w:sz="4" w:space="0"/>
              <w:right w:val="single" w:color="auto" w:sz="4" w:space="0"/>
            </w:tcBorders>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167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11</w:t>
            </w:r>
          </w:p>
        </w:tc>
        <w:tc>
          <w:tcPr>
            <w:tcW w:w="1208"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 w:eastAsia="仿宋_GB2312"/>
                <w:sz w:val="24"/>
              </w:rPr>
              <w:t>项目报价情况</w:t>
            </w:r>
          </w:p>
        </w:tc>
        <w:tc>
          <w:tcPr>
            <w:tcW w:w="5921" w:type="dxa"/>
            <w:tcBorders>
              <w:top w:val="single" w:color="auto" w:sz="4" w:space="0"/>
              <w:left w:val="nil"/>
              <w:bottom w:val="single" w:color="auto" w:sz="4" w:space="0"/>
              <w:right w:val="single" w:color="auto" w:sz="4" w:space="0"/>
            </w:tcBorders>
            <w:vAlign w:val="center"/>
          </w:tcPr>
          <w:p>
            <w:pPr>
              <w:jc w:val="left"/>
              <w:rPr>
                <w:rFonts w:ascii="仿宋_GB2312" w:eastAsia="仿宋_GB2312"/>
                <w:sz w:val="24"/>
              </w:rPr>
            </w:pPr>
            <w:r>
              <w:rPr>
                <w:rFonts w:hint="eastAsia" w:ascii="仿宋_GB2312" w:hAnsi="宋体" w:eastAsia="仿宋_GB2312"/>
                <w:sz w:val="24"/>
              </w:rPr>
              <w:t>投标人提供1月</w:t>
            </w:r>
            <w:r>
              <w:rPr>
                <w:rFonts w:hint="eastAsia" w:ascii="仿宋_GB2312" w:hAnsi="宋体" w:eastAsia="仿宋_GB2312"/>
                <w:sz w:val="24"/>
                <w:lang w:val="en-US" w:eastAsia="zh-CN"/>
              </w:rPr>
              <w:t>21</w:t>
            </w:r>
            <w:r>
              <w:rPr>
                <w:rFonts w:hint="eastAsia" w:ascii="仿宋_GB2312" w:hAnsi="宋体" w:eastAsia="仿宋_GB2312"/>
                <w:sz w:val="24"/>
              </w:rPr>
              <w:t>日至1月</w:t>
            </w:r>
            <w:r>
              <w:rPr>
                <w:rFonts w:hint="eastAsia" w:ascii="仿宋_GB2312" w:hAnsi="宋体" w:eastAsia="仿宋_GB2312"/>
                <w:sz w:val="24"/>
                <w:lang w:val="en-US" w:eastAsia="zh-CN"/>
              </w:rPr>
              <w:t>23</w:t>
            </w:r>
            <w:r>
              <w:rPr>
                <w:rFonts w:hint="eastAsia" w:ascii="仿宋_GB2312" w:hAnsi="宋体" w:eastAsia="仿宋_GB2312"/>
                <w:sz w:val="24"/>
              </w:rPr>
              <w:t>日的食材报价，评标小组从中选出最常用的10种，比较单价。总体单价最低得3分，第二低得2分，第三低得1分，第四及之后得0分。</w:t>
            </w:r>
          </w:p>
        </w:tc>
        <w:tc>
          <w:tcPr>
            <w:tcW w:w="708" w:type="dxa"/>
            <w:tcBorders>
              <w:top w:val="single" w:color="auto" w:sz="4" w:space="0"/>
              <w:left w:val="nil"/>
              <w:bottom w:val="single" w:color="auto" w:sz="4" w:space="0"/>
              <w:right w:val="single" w:color="auto" w:sz="4" w:space="0"/>
            </w:tcBorders>
            <w:vAlign w:val="center"/>
          </w:tcPr>
          <w:p>
            <w:pPr>
              <w:jc w:val="center"/>
              <w:rPr>
                <w:rFonts w:eastAsia="仿宋_GB2312"/>
                <w:kern w:val="0"/>
                <w:sz w:val="24"/>
              </w:rPr>
            </w:pPr>
            <w:r>
              <w:rPr>
                <w:rFonts w:hint="eastAsia" w:eastAsia="仿宋_GB2312"/>
                <w:kern w:val="0"/>
                <w:sz w:val="24"/>
              </w:rPr>
              <w:t>10</w:t>
            </w:r>
          </w:p>
        </w:tc>
        <w:tc>
          <w:tcPr>
            <w:tcW w:w="906" w:type="dxa"/>
            <w:tcBorders>
              <w:top w:val="single" w:color="auto" w:sz="4" w:space="0"/>
              <w:left w:val="nil"/>
              <w:bottom w:val="single" w:color="auto" w:sz="4" w:space="0"/>
              <w:right w:val="single" w:color="auto" w:sz="4" w:space="0"/>
            </w:tcBorders>
            <w:vAlign w:val="center"/>
          </w:tcPr>
          <w:p>
            <w:pPr>
              <w:jc w:val="center"/>
              <w:rPr>
                <w:rFonts w:ascii="Calibri" w:hAnsi="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0" w:hRule="atLeast"/>
          <w:jc w:val="center"/>
        </w:trPr>
        <w:tc>
          <w:tcPr>
            <w:tcW w:w="19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bCs/>
                <w:kern w:val="0"/>
                <w:sz w:val="24"/>
              </w:rPr>
            </w:pPr>
            <w:r>
              <w:rPr>
                <w:rFonts w:hint="eastAsia" w:ascii="仿宋_GB2312" w:eastAsia="仿宋_GB2312"/>
                <w:b/>
                <w:bCs/>
                <w:kern w:val="0"/>
                <w:sz w:val="24"/>
              </w:rPr>
              <w:t>合计</w:t>
            </w:r>
          </w:p>
        </w:tc>
        <w:tc>
          <w:tcPr>
            <w:tcW w:w="662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b/>
                <w:bCs/>
                <w:sz w:val="24"/>
              </w:rPr>
            </w:pPr>
            <w:r>
              <w:rPr>
                <w:rFonts w:hint="eastAsia" w:ascii="仿宋_GB2312" w:eastAsia="仿宋_GB2312"/>
                <w:b/>
                <w:bCs/>
                <w:sz w:val="24"/>
              </w:rPr>
              <w:t>100分</w:t>
            </w:r>
          </w:p>
        </w:tc>
        <w:tc>
          <w:tcPr>
            <w:tcW w:w="906" w:type="dxa"/>
            <w:tcBorders>
              <w:top w:val="single" w:color="auto" w:sz="4" w:space="0"/>
              <w:left w:val="nil"/>
              <w:bottom w:val="single" w:color="auto" w:sz="4" w:space="0"/>
              <w:right w:val="single" w:color="auto" w:sz="4" w:space="0"/>
            </w:tcBorders>
            <w:vAlign w:val="center"/>
          </w:tcPr>
          <w:p>
            <w:pPr>
              <w:widowControl/>
              <w:jc w:val="center"/>
              <w:rPr>
                <w:rFonts w:eastAsia="仿宋_GB2312"/>
                <w:b/>
                <w:bCs/>
                <w:sz w:val="24"/>
              </w:rPr>
            </w:pPr>
          </w:p>
        </w:tc>
      </w:tr>
    </w:tbl>
    <w:p>
      <w:pPr>
        <w:rPr>
          <w:rFonts w:ascii="仿宋_GB2312" w:hAnsi="仿宋_GB2312" w:eastAsia="仿宋_GB2312" w:cs="仿宋_GB2312"/>
          <w:sz w:val="32"/>
          <w:szCs w:val="32"/>
        </w:rPr>
      </w:pPr>
      <w:bookmarkStart w:id="0" w:name="_GoBack"/>
      <w:bookmarkEnd w:id="0"/>
    </w:p>
    <w:sectPr>
      <w:pgSz w:w="11906" w:h="16838"/>
      <w:pgMar w:top="1417" w:right="1134" w:bottom="1134" w:left="1417"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Regular">
    <w:altName w:val="MingLiU"/>
    <w:panose1 w:val="00000000000000000000"/>
    <w:charset w:val="88"/>
    <w:family w:val="auto"/>
    <w:pitch w:val="default"/>
    <w:sig w:usb0="00000000" w:usb1="00000000" w:usb2="00000000" w:usb3="00000000" w:csb0="0010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064"/>
    <w:rsid w:val="000A3065"/>
    <w:rsid w:val="001B4814"/>
    <w:rsid w:val="00365C63"/>
    <w:rsid w:val="00427064"/>
    <w:rsid w:val="007B6479"/>
    <w:rsid w:val="008204AE"/>
    <w:rsid w:val="00843421"/>
    <w:rsid w:val="009E63F9"/>
    <w:rsid w:val="00B36D5C"/>
    <w:rsid w:val="0512197B"/>
    <w:rsid w:val="0A251F3F"/>
    <w:rsid w:val="0A855AB3"/>
    <w:rsid w:val="127047A8"/>
    <w:rsid w:val="12D80E85"/>
    <w:rsid w:val="18EE6584"/>
    <w:rsid w:val="32D31C94"/>
    <w:rsid w:val="354B4B05"/>
    <w:rsid w:val="3E41390E"/>
    <w:rsid w:val="3EBD5B1C"/>
    <w:rsid w:val="3ECB47DC"/>
    <w:rsid w:val="526F77CF"/>
    <w:rsid w:val="5FF71565"/>
    <w:rsid w:val="660513D1"/>
    <w:rsid w:val="66DD7E11"/>
    <w:rsid w:val="69B212FB"/>
    <w:rsid w:val="6D512820"/>
    <w:rsid w:val="723D4DC7"/>
    <w:rsid w:val="7A320BE5"/>
    <w:rsid w:val="7AAD3034"/>
    <w:rsid w:val="7FD64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40" w:after="120" w:line="360" w:lineRule="auto"/>
      <w:ind w:left="454" w:hanging="454"/>
      <w:jc w:val="center"/>
      <w:outlineLvl w:val="1"/>
    </w:pPr>
    <w:rPr>
      <w:rFonts w:ascii="Arial" w:hAnsi="Calibri"/>
      <w:b/>
      <w:bCs/>
      <w:color w:val="000000"/>
      <w:sz w:val="28"/>
      <w:szCs w:val="28"/>
    </w:rPr>
  </w:style>
  <w:style w:type="paragraph" w:styleId="3">
    <w:name w:val="heading 3"/>
    <w:basedOn w:val="1"/>
    <w:next w:val="1"/>
    <w:qFormat/>
    <w:uiPriority w:val="0"/>
    <w:pPr>
      <w:spacing w:beforeAutospacing="1" w:afterAutospacing="1"/>
      <w:jc w:val="left"/>
      <w:outlineLvl w:val="2"/>
    </w:pPr>
    <w:rPr>
      <w:rFonts w:hint="eastAsia" w:ascii="宋体" w:hAnsi="宋体"/>
      <w:b/>
      <w:kern w:val="0"/>
      <w:sz w:val="27"/>
      <w:szCs w:val="27"/>
    </w:rPr>
  </w:style>
  <w:style w:type="paragraph" w:styleId="4">
    <w:name w:val="heading 5"/>
    <w:basedOn w:val="1"/>
    <w:next w:val="1"/>
    <w:qFormat/>
    <w:uiPriority w:val="0"/>
    <w:pPr>
      <w:jc w:val="left"/>
      <w:outlineLvl w:val="4"/>
    </w:pPr>
    <w:rPr>
      <w:rFonts w:ascii="Arial" w:hAnsi="Arial"/>
      <w:b/>
      <w:color w:val="333333"/>
      <w:kern w:val="0"/>
      <w:sz w:val="18"/>
      <w:szCs w:val="18"/>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ascii="Arial" w:hAnsi="Arial"/>
      <w:color w:val="333333"/>
      <w:kern w:val="0"/>
      <w:sz w:val="18"/>
      <w:szCs w:val="18"/>
    </w:rPr>
  </w:style>
  <w:style w:type="character" w:styleId="9">
    <w:name w:val="Emphasis"/>
    <w:basedOn w:val="8"/>
    <w:qFormat/>
    <w:uiPriority w:val="0"/>
    <w:rPr>
      <w:i/>
    </w:rPr>
  </w:style>
  <w:style w:type="character" w:styleId="10">
    <w:name w:val="Hyperlink"/>
    <w:qFormat/>
    <w:uiPriority w:val="0"/>
    <w:rPr>
      <w:rFonts w:hint="default" w:ascii="Arial" w:hAnsi="Arial" w:cs="Arial"/>
      <w:color w:val="333333"/>
      <w:sz w:val="18"/>
      <w:szCs w:val="18"/>
      <w:u w:val="none"/>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15"/>
    <w:qFormat/>
    <w:uiPriority w:val="0"/>
    <w:rPr>
      <w:rFonts w:hint="eastAsia" w:ascii="宋体" w:hAnsi="宋体" w:eastAsia="宋体" w:cs="Times New Roman"/>
      <w:color w:val="000000"/>
      <w:sz w:val="44"/>
      <w:szCs w:val="44"/>
    </w:rPr>
  </w:style>
  <w:style w:type="paragraph" w:customStyle="1" w:styleId="14">
    <w:name w:val="p0"/>
    <w:basedOn w:val="1"/>
    <w:qFormat/>
    <w:uiPriority w:val="0"/>
    <w:pPr>
      <w:widowControl/>
    </w:pPr>
    <w:rPr>
      <w:rFonts w:ascii="Calibri" w:hAnsi="Calibri"/>
      <w:kern w:val="0"/>
      <w:szCs w:val="21"/>
    </w:rPr>
  </w:style>
  <w:style w:type="character" w:customStyle="1" w:styleId="15">
    <w:name w:val="页眉 Char"/>
    <w:basedOn w:val="8"/>
    <w:link w:val="6"/>
    <w:qFormat/>
    <w:uiPriority w:val="0"/>
    <w:rPr>
      <w:kern w:val="2"/>
      <w:sz w:val="18"/>
      <w:szCs w:val="18"/>
    </w:rPr>
  </w:style>
  <w:style w:type="character" w:customStyle="1" w:styleId="16">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3681E-838C-48AE-A35F-D300E8ABA521}">
  <ds:schemaRefs/>
</ds:datastoreItem>
</file>

<file path=docProps/app.xml><?xml version="1.0" encoding="utf-8"?>
<Properties xmlns="http://schemas.openxmlformats.org/officeDocument/2006/extended-properties" xmlns:vt="http://schemas.openxmlformats.org/officeDocument/2006/docPropsVTypes">
  <Template>Normal</Template>
  <Company>区文广新局</Company>
  <Pages>11</Pages>
  <Words>832</Words>
  <Characters>4748</Characters>
  <Lines>39</Lines>
  <Paragraphs>11</Paragraphs>
  <TotalTime>2</TotalTime>
  <ScaleCrop>false</ScaleCrop>
  <LinksUpToDate>false</LinksUpToDate>
  <CharactersWithSpaces>5569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2022-12-27T06:29:00Z</dcterms:created>
  <dc:creator>lyl</dc:creator>
  <cp:lastModifiedBy>雯雯</cp:lastModifiedBy>
  <cp:lastPrinted>2023-12-27T01:47:00Z</cp:lastPrinted>
  <dcterms:modified xsi:type="dcterms:W3CDTF">2025-01-22T01:49:30Z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df1d75fff6ef479c8514bb3082ba985f</vt:lpwstr>
  </property>
</Properties>
</file>