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olor w:val="000000"/>
          <w:sz w:val="32"/>
          <w:szCs w:val="32"/>
        </w:rPr>
      </w:pPr>
      <w:r>
        <w:rPr>
          <w:rFonts w:hint="eastAsia" w:eastAsia="方正小标宋简体"/>
          <w:color w:val="000000"/>
          <w:sz w:val="32"/>
          <w:szCs w:val="32"/>
        </w:rPr>
        <w:t>广州市海珠区市场监督管理局水泥产品</w:t>
      </w:r>
    </w:p>
    <w:p>
      <w:pPr>
        <w:jc w:val="center"/>
        <w:rPr>
          <w:rFonts w:eastAsia="方正小标宋简体"/>
          <w:sz w:val="32"/>
          <w:szCs w:val="32"/>
        </w:rPr>
      </w:pPr>
      <w:r>
        <w:rPr>
          <w:rFonts w:eastAsia="方正小标宋简体"/>
          <w:sz w:val="32"/>
          <w:szCs w:val="32"/>
        </w:rPr>
        <w:t>质量</w:t>
      </w:r>
      <w:r>
        <w:rPr>
          <w:rFonts w:hint="eastAsia" w:eastAsia="方正小标宋简体"/>
          <w:sz w:val="32"/>
          <w:szCs w:val="32"/>
        </w:rPr>
        <w:t>监督</w:t>
      </w:r>
      <w:r>
        <w:rPr>
          <w:rFonts w:eastAsia="方正小标宋简体"/>
          <w:sz w:val="32"/>
          <w:szCs w:val="32"/>
        </w:rPr>
        <w:t>抽查实施</w:t>
      </w:r>
      <w:r>
        <w:rPr>
          <w:rFonts w:hint="eastAsia" w:eastAsia="方正小标宋简体"/>
          <w:sz w:val="32"/>
          <w:szCs w:val="32"/>
        </w:rPr>
        <w:t>细则</w:t>
      </w:r>
    </w:p>
    <w:p>
      <w:pPr>
        <w:jc w:val="center"/>
        <w:rPr>
          <w:rFonts w:eastAsia="方正小标宋简体"/>
          <w:color w:val="000000"/>
          <w:sz w:val="32"/>
          <w:szCs w:val="32"/>
        </w:rPr>
      </w:pPr>
      <w:r>
        <w:rPr>
          <w:rFonts w:hint="eastAsia" w:eastAsia="方正小标宋简体"/>
          <w:color w:val="000000"/>
          <w:sz w:val="32"/>
          <w:szCs w:val="32"/>
        </w:rPr>
        <w:t>（2025年版）</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1、抽样方法</w:t>
      </w:r>
    </w:p>
    <w:p>
      <w:pPr>
        <w:snapToGrid w:val="0"/>
        <w:spacing w:line="440" w:lineRule="exact"/>
        <w:ind w:firstLine="420" w:firstLineChars="200"/>
        <w:rPr>
          <w:rFonts w:hint="eastAsia"/>
          <w:szCs w:val="21"/>
        </w:rPr>
      </w:pPr>
      <w:r>
        <w:rPr>
          <w:rFonts w:hint="eastAsia"/>
          <w:szCs w:val="21"/>
        </w:rPr>
        <w:t>以随机抽样的方式在被抽查市场主体的待销产品中抽取。</w:t>
      </w:r>
    </w:p>
    <w:p>
      <w:pPr>
        <w:snapToGrid w:val="0"/>
        <w:spacing w:line="440" w:lineRule="exact"/>
        <w:ind w:firstLine="420" w:firstLineChars="200"/>
        <w:rPr>
          <w:rFonts w:hint="eastAsia"/>
          <w:szCs w:val="21"/>
        </w:rPr>
      </w:pPr>
      <w:r>
        <w:rPr>
          <w:rFonts w:hint="eastAsia"/>
          <w:szCs w:val="21"/>
        </w:rPr>
        <w:t>随机数一般可使用随机数表等方法产生。</w:t>
      </w:r>
    </w:p>
    <w:p>
      <w:pPr>
        <w:snapToGrid w:val="0"/>
        <w:spacing w:line="440" w:lineRule="exact"/>
        <w:ind w:firstLine="420" w:firstLineChars="200"/>
        <w:rPr>
          <w:rFonts w:hint="eastAsia"/>
          <w:szCs w:val="21"/>
        </w:rPr>
      </w:pPr>
      <w:r>
        <w:rPr>
          <w:rFonts w:hint="eastAsia"/>
          <w:szCs w:val="21"/>
        </w:rPr>
        <w:t>抽查数量：每款产品抽取2组样本，第1组用于检验，第2组用于备样。</w:t>
      </w:r>
    </w:p>
    <w:p>
      <w:pPr>
        <w:snapToGrid w:val="0"/>
        <w:spacing w:line="440" w:lineRule="exact"/>
        <w:ind w:firstLine="420" w:firstLineChars="200"/>
        <w:rPr>
          <w:rFonts w:hint="eastAsia"/>
          <w:szCs w:val="21"/>
        </w:rPr>
      </w:pPr>
      <w:r>
        <w:rPr>
          <w:rFonts w:hint="eastAsia"/>
          <w:szCs w:val="21"/>
        </w:rPr>
        <w:t>具体抽样数量如下：</w:t>
      </w:r>
    </w:p>
    <w:p>
      <w:pPr>
        <w:snapToGrid w:val="0"/>
        <w:spacing w:line="440" w:lineRule="exact"/>
        <w:jc w:val="center"/>
        <w:rPr>
          <w:rFonts w:hint="eastAsia"/>
          <w:szCs w:val="21"/>
        </w:rPr>
      </w:pPr>
      <w:r>
        <w:rPr>
          <w:rFonts w:hint="eastAsia"/>
          <w:szCs w:val="21"/>
        </w:rPr>
        <w:t>表1  抽样数量</w:t>
      </w:r>
    </w:p>
    <w:tbl>
      <w:tblPr>
        <w:tblStyle w:val="9"/>
        <w:tblW w:w="86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136"/>
        <w:gridCol w:w="1914"/>
        <w:gridCol w:w="2338"/>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2" w:hRule="atLeast"/>
          <w:tblHeader/>
          <w:jc w:val="center"/>
        </w:trPr>
        <w:tc>
          <w:tcPr>
            <w:tcW w:w="884" w:type="dxa"/>
          </w:tcPr>
          <w:p>
            <w:pPr>
              <w:jc w:val="center"/>
              <w:rPr>
                <w:rFonts w:hint="eastAsia"/>
              </w:rPr>
            </w:pPr>
            <w:r>
              <w:rPr>
                <w:rFonts w:hint="eastAsia"/>
              </w:rPr>
              <w:t>序号</w:t>
            </w:r>
          </w:p>
        </w:tc>
        <w:tc>
          <w:tcPr>
            <w:tcW w:w="3050" w:type="dxa"/>
            <w:gridSpan w:val="2"/>
            <w:vAlign w:val="center"/>
          </w:tcPr>
          <w:p>
            <w:pPr>
              <w:jc w:val="center"/>
              <w:rPr>
                <w:rFonts w:hint="eastAsia"/>
              </w:rPr>
            </w:pPr>
            <w:r>
              <w:rPr>
                <w:rFonts w:hint="eastAsia"/>
              </w:rPr>
              <w:t>被抽查的产品品种</w:t>
            </w:r>
          </w:p>
        </w:tc>
        <w:tc>
          <w:tcPr>
            <w:tcW w:w="2338" w:type="dxa"/>
            <w:vAlign w:val="center"/>
          </w:tcPr>
          <w:p>
            <w:pPr>
              <w:jc w:val="center"/>
              <w:rPr>
                <w:rFonts w:hint="eastAsia"/>
              </w:rPr>
            </w:pPr>
            <w:r>
              <w:rPr>
                <w:rFonts w:hint="eastAsia"/>
              </w:rPr>
              <w:t>第1组数量（款）</w:t>
            </w:r>
          </w:p>
        </w:tc>
        <w:tc>
          <w:tcPr>
            <w:tcW w:w="2339" w:type="dxa"/>
            <w:vAlign w:val="center"/>
          </w:tcPr>
          <w:p>
            <w:pPr>
              <w:jc w:val="center"/>
              <w:rPr>
                <w:rFonts w:hint="eastAsia"/>
              </w:rPr>
            </w:pPr>
            <w:r>
              <w:rPr>
                <w:rFonts w:hint="eastAsia"/>
              </w:rPr>
              <w:t>第2组数量（款）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2" w:hRule="atLeast"/>
          <w:tblHeader/>
          <w:jc w:val="center"/>
        </w:trPr>
        <w:tc>
          <w:tcPr>
            <w:tcW w:w="884" w:type="dxa"/>
          </w:tcPr>
          <w:p>
            <w:pPr>
              <w:jc w:val="center"/>
              <w:rPr>
                <w:rFonts w:hint="eastAsia"/>
              </w:rPr>
            </w:pPr>
            <w:r>
              <w:rPr>
                <w:rFonts w:hint="eastAsia"/>
              </w:rPr>
              <w:t>1</w:t>
            </w:r>
          </w:p>
        </w:tc>
        <w:tc>
          <w:tcPr>
            <w:tcW w:w="1136" w:type="dxa"/>
            <w:vMerge w:val="restart"/>
            <w:vAlign w:val="center"/>
          </w:tcPr>
          <w:p>
            <w:pPr>
              <w:jc w:val="center"/>
              <w:rPr>
                <w:rFonts w:hint="eastAsia"/>
              </w:rPr>
            </w:pPr>
            <w:r>
              <w:rPr>
                <w:rFonts w:hint="eastAsia"/>
              </w:rPr>
              <w:t>水泥</w:t>
            </w:r>
          </w:p>
        </w:tc>
        <w:tc>
          <w:tcPr>
            <w:tcW w:w="1914" w:type="dxa"/>
            <w:vAlign w:val="center"/>
          </w:tcPr>
          <w:p>
            <w:pPr>
              <w:jc w:val="center"/>
              <w:rPr>
                <w:rFonts w:hint="eastAsia"/>
              </w:rPr>
            </w:pPr>
            <w:r>
              <w:rPr>
                <w:rFonts w:hint="eastAsia"/>
              </w:rPr>
              <w:t>通用硅酸盐水泥</w:t>
            </w:r>
          </w:p>
        </w:tc>
        <w:tc>
          <w:tcPr>
            <w:tcW w:w="2338" w:type="dxa"/>
            <w:vAlign w:val="center"/>
          </w:tcPr>
          <w:p>
            <w:pPr>
              <w:jc w:val="center"/>
              <w:rPr>
                <w:rFonts w:hint="eastAsia"/>
              </w:rPr>
            </w:pPr>
            <w:r>
              <w:rPr>
                <w:rFonts w:hint="eastAsia"/>
              </w:rPr>
              <w:t>每份至少</w:t>
            </w:r>
            <w:r>
              <w:t>12</w:t>
            </w:r>
            <w:r>
              <w:rPr>
                <w:rFonts w:hint="eastAsia"/>
              </w:rPr>
              <w:t xml:space="preserve"> kg</w:t>
            </w:r>
          </w:p>
        </w:tc>
        <w:tc>
          <w:tcPr>
            <w:tcW w:w="2339" w:type="dxa"/>
            <w:vAlign w:val="center"/>
          </w:tcPr>
          <w:p>
            <w:pPr>
              <w:jc w:val="center"/>
              <w:rPr>
                <w:rFonts w:hint="eastAsia"/>
              </w:rPr>
            </w:pPr>
            <w:r>
              <w:rPr>
                <w:rFonts w:hint="eastAsia"/>
              </w:rPr>
              <w:t>每份至少</w:t>
            </w:r>
            <w:r>
              <w:t>12</w:t>
            </w:r>
            <w:r>
              <w:rPr>
                <w:rFonts w:hint="eastAsia"/>
              </w:rPr>
              <w:t xml:space="preserve">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jc w:val="center"/>
        </w:trPr>
        <w:tc>
          <w:tcPr>
            <w:tcW w:w="884" w:type="dxa"/>
          </w:tcPr>
          <w:p>
            <w:pPr>
              <w:jc w:val="center"/>
              <w:rPr>
                <w:rFonts w:hint="eastAsia"/>
              </w:rPr>
            </w:pPr>
            <w:r>
              <w:rPr>
                <w:rFonts w:hint="eastAsia"/>
              </w:rPr>
              <w:t>2</w:t>
            </w:r>
          </w:p>
        </w:tc>
        <w:tc>
          <w:tcPr>
            <w:tcW w:w="1136" w:type="dxa"/>
            <w:vMerge w:val="continue"/>
            <w:vAlign w:val="center"/>
          </w:tcPr>
          <w:p>
            <w:pPr>
              <w:jc w:val="center"/>
              <w:rPr>
                <w:rFonts w:hint="eastAsia"/>
              </w:rPr>
            </w:pPr>
          </w:p>
        </w:tc>
        <w:tc>
          <w:tcPr>
            <w:tcW w:w="1914" w:type="dxa"/>
            <w:vAlign w:val="center"/>
          </w:tcPr>
          <w:p>
            <w:pPr>
              <w:jc w:val="center"/>
              <w:rPr>
                <w:rFonts w:hint="eastAsia"/>
              </w:rPr>
            </w:pPr>
            <w:r>
              <w:rPr>
                <w:rFonts w:hint="eastAsia"/>
              </w:rPr>
              <w:t>砌筑水泥</w:t>
            </w:r>
          </w:p>
        </w:tc>
        <w:tc>
          <w:tcPr>
            <w:tcW w:w="2338" w:type="dxa"/>
            <w:vAlign w:val="center"/>
          </w:tcPr>
          <w:p>
            <w:pPr>
              <w:jc w:val="center"/>
              <w:rPr>
                <w:rFonts w:hint="eastAsia"/>
              </w:rPr>
            </w:pPr>
            <w:r>
              <w:rPr>
                <w:rFonts w:hint="eastAsia"/>
              </w:rPr>
              <w:t>每份至少8 kg</w:t>
            </w:r>
          </w:p>
        </w:tc>
        <w:tc>
          <w:tcPr>
            <w:tcW w:w="2339" w:type="dxa"/>
            <w:vAlign w:val="center"/>
          </w:tcPr>
          <w:p>
            <w:pPr>
              <w:jc w:val="center"/>
              <w:rPr>
                <w:rFonts w:hint="eastAsia"/>
              </w:rPr>
            </w:pPr>
            <w:r>
              <w:rPr>
                <w:rFonts w:hint="eastAsia"/>
              </w:rPr>
              <w:t>每份至少8 kg</w:t>
            </w:r>
          </w:p>
        </w:tc>
      </w:tr>
    </w:tbl>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2、检验依据</w:t>
      </w:r>
    </w:p>
    <w:p>
      <w:pPr>
        <w:spacing w:line="360" w:lineRule="auto"/>
        <w:ind w:firstLine="420" w:firstLineChars="200"/>
        <w:rPr>
          <w:szCs w:val="21"/>
        </w:rPr>
      </w:pPr>
      <w:r>
        <w:rPr>
          <w:color w:val="000000"/>
          <w:szCs w:val="21"/>
        </w:rPr>
        <w:t>本次抽查检验项目和检验</w:t>
      </w:r>
      <w:r>
        <w:rPr>
          <w:rFonts w:asciiTheme="minorEastAsia" w:hAnsiTheme="minorEastAsia" w:eastAsiaTheme="minorEastAsia"/>
          <w:color w:val="000000"/>
          <w:szCs w:val="21"/>
        </w:rPr>
        <w:t>方法依据见</w:t>
      </w:r>
      <w:r>
        <w:rPr>
          <w:szCs w:val="21"/>
        </w:rPr>
        <w:t>表</w:t>
      </w:r>
      <w:r>
        <w:rPr>
          <w:rFonts w:hint="eastAsia"/>
          <w:szCs w:val="21"/>
        </w:rPr>
        <w:t>2～表3</w:t>
      </w:r>
      <w:r>
        <w:rPr>
          <w:rFonts w:hAnsi="宋体"/>
          <w:szCs w:val="21"/>
        </w:rPr>
        <w:t>。</w:t>
      </w:r>
    </w:p>
    <w:p>
      <w:pPr>
        <w:snapToGrid w:val="0"/>
        <w:spacing w:line="440" w:lineRule="exact"/>
        <w:jc w:val="center"/>
        <w:rPr>
          <w:rFonts w:hint="eastAsia"/>
          <w:szCs w:val="21"/>
        </w:rPr>
      </w:pPr>
      <w:r>
        <w:rPr>
          <w:szCs w:val="21"/>
        </w:rPr>
        <w:t>表</w:t>
      </w:r>
      <w:r>
        <w:rPr>
          <w:rFonts w:hint="eastAsia"/>
          <w:szCs w:val="21"/>
        </w:rPr>
        <w:t>2</w:t>
      </w:r>
      <w:r>
        <w:t xml:space="preserve"> </w:t>
      </w:r>
      <w:r>
        <w:rPr>
          <w:rFonts w:hint="eastAsia"/>
        </w:rPr>
        <w:t xml:space="preserve"> </w:t>
      </w:r>
      <w:r>
        <w:rPr>
          <w:rFonts w:hint="eastAsia"/>
          <w:szCs w:val="21"/>
        </w:rPr>
        <w:t>通用硅酸盐水泥</w:t>
      </w:r>
      <w:r>
        <w:rPr>
          <w:szCs w:val="21"/>
        </w:rPr>
        <w:t>检验项目</w:t>
      </w:r>
    </w:p>
    <w:tbl>
      <w:tblPr>
        <w:tblStyle w:val="9"/>
        <w:tblW w:w="8220" w:type="dxa"/>
        <w:jc w:val="center"/>
        <w:tblInd w:w="-1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892"/>
        <w:gridCol w:w="4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jc w:val="center"/>
        </w:trPr>
        <w:tc>
          <w:tcPr>
            <w:tcW w:w="850" w:type="dxa"/>
            <w:vAlign w:val="center"/>
          </w:tcPr>
          <w:p>
            <w:pPr>
              <w:jc w:val="center"/>
              <w:rPr>
                <w:color w:val="000000"/>
                <w:szCs w:val="21"/>
              </w:rPr>
            </w:pPr>
            <w:r>
              <w:rPr>
                <w:color w:val="000000"/>
                <w:szCs w:val="21"/>
              </w:rPr>
              <w:t>序号</w:t>
            </w:r>
          </w:p>
        </w:tc>
        <w:tc>
          <w:tcPr>
            <w:tcW w:w="2892" w:type="dxa"/>
            <w:vAlign w:val="center"/>
          </w:tcPr>
          <w:p>
            <w:pPr>
              <w:jc w:val="center"/>
              <w:rPr>
                <w:color w:val="000000"/>
                <w:szCs w:val="21"/>
              </w:rPr>
            </w:pPr>
            <w:r>
              <w:rPr>
                <w:color w:val="000000"/>
                <w:szCs w:val="21"/>
              </w:rPr>
              <w:t>检验项目</w:t>
            </w:r>
          </w:p>
        </w:tc>
        <w:tc>
          <w:tcPr>
            <w:tcW w:w="4478" w:type="dxa"/>
            <w:vAlign w:val="center"/>
          </w:tcPr>
          <w:p>
            <w:pPr>
              <w:jc w:val="center"/>
              <w:rPr>
                <w:color w:val="000000"/>
                <w:szCs w:val="21"/>
              </w:rPr>
            </w:pPr>
            <w:r>
              <w:rPr>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jc w:val="center"/>
        </w:trPr>
        <w:tc>
          <w:tcPr>
            <w:tcW w:w="850" w:type="dxa"/>
            <w:vAlign w:val="center"/>
          </w:tcPr>
          <w:p>
            <w:pPr>
              <w:snapToGrid w:val="0"/>
              <w:jc w:val="center"/>
              <w:rPr>
                <w:szCs w:val="21"/>
              </w:rPr>
            </w:pPr>
            <w:r>
              <w:rPr>
                <w:szCs w:val="21"/>
              </w:rPr>
              <w:t>1</w:t>
            </w:r>
          </w:p>
        </w:tc>
        <w:tc>
          <w:tcPr>
            <w:tcW w:w="2892" w:type="dxa"/>
            <w:vAlign w:val="center"/>
          </w:tcPr>
          <w:p>
            <w:pPr>
              <w:snapToGrid w:val="0"/>
              <w:jc w:val="center"/>
              <w:rPr>
                <w:rFonts w:hint="eastAsia"/>
                <w:szCs w:val="21"/>
              </w:rPr>
            </w:pPr>
            <w:r>
              <w:rPr>
                <w:rFonts w:hint="eastAsia"/>
                <w:szCs w:val="21"/>
              </w:rPr>
              <w:t>不溶物</w:t>
            </w:r>
          </w:p>
        </w:tc>
        <w:tc>
          <w:tcPr>
            <w:tcW w:w="4478" w:type="dxa"/>
            <w:vMerge w:val="restart"/>
            <w:vAlign w:val="center"/>
          </w:tcPr>
          <w:p>
            <w:pPr>
              <w:snapToGrid w:val="0"/>
              <w:spacing w:line="320" w:lineRule="exact"/>
              <w:jc w:val="center"/>
              <w:rPr>
                <w:sz w:val="18"/>
                <w:szCs w:val="18"/>
              </w:rPr>
            </w:pPr>
            <w:r>
              <w:rPr>
                <w:rFonts w:hint="eastAsia"/>
                <w:szCs w:val="21"/>
              </w:rPr>
              <w:t>GB/T 176-2017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jc w:val="center"/>
        </w:trPr>
        <w:tc>
          <w:tcPr>
            <w:tcW w:w="850" w:type="dxa"/>
            <w:vAlign w:val="center"/>
          </w:tcPr>
          <w:p>
            <w:pPr>
              <w:snapToGrid w:val="0"/>
              <w:jc w:val="center"/>
              <w:rPr>
                <w:szCs w:val="21"/>
              </w:rPr>
            </w:pPr>
            <w:r>
              <w:rPr>
                <w:szCs w:val="21"/>
              </w:rPr>
              <w:t>2</w:t>
            </w:r>
          </w:p>
        </w:tc>
        <w:tc>
          <w:tcPr>
            <w:tcW w:w="2892" w:type="dxa"/>
            <w:vAlign w:val="center"/>
          </w:tcPr>
          <w:p>
            <w:pPr>
              <w:snapToGrid w:val="0"/>
              <w:jc w:val="center"/>
              <w:rPr>
                <w:rFonts w:hint="eastAsia"/>
                <w:szCs w:val="21"/>
              </w:rPr>
            </w:pPr>
            <w:r>
              <w:rPr>
                <w:rFonts w:hint="eastAsia"/>
                <w:szCs w:val="21"/>
              </w:rPr>
              <w:t>烧失量</w:t>
            </w:r>
          </w:p>
        </w:tc>
        <w:tc>
          <w:tcPr>
            <w:tcW w:w="4478" w:type="dxa"/>
            <w:vMerge w:val="continue"/>
            <w:vAlign w:val="center"/>
          </w:tcPr>
          <w:p>
            <w:pPr>
              <w:snapToGrid w:val="0"/>
              <w:spacing w:line="3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jc w:val="center"/>
        </w:trPr>
        <w:tc>
          <w:tcPr>
            <w:tcW w:w="850" w:type="dxa"/>
            <w:vAlign w:val="center"/>
          </w:tcPr>
          <w:p>
            <w:pPr>
              <w:snapToGrid w:val="0"/>
              <w:jc w:val="center"/>
              <w:rPr>
                <w:szCs w:val="21"/>
              </w:rPr>
            </w:pPr>
            <w:r>
              <w:rPr>
                <w:rFonts w:hint="eastAsia"/>
                <w:szCs w:val="21"/>
              </w:rPr>
              <w:t>3</w:t>
            </w:r>
          </w:p>
        </w:tc>
        <w:tc>
          <w:tcPr>
            <w:tcW w:w="2892" w:type="dxa"/>
            <w:vAlign w:val="center"/>
          </w:tcPr>
          <w:p>
            <w:pPr>
              <w:snapToGrid w:val="0"/>
              <w:jc w:val="center"/>
              <w:rPr>
                <w:rFonts w:hint="eastAsia"/>
                <w:szCs w:val="21"/>
              </w:rPr>
            </w:pPr>
            <w:r>
              <w:rPr>
                <w:rFonts w:hint="eastAsia"/>
                <w:szCs w:val="21"/>
              </w:rPr>
              <w:t>三氧化硫</w:t>
            </w:r>
          </w:p>
        </w:tc>
        <w:tc>
          <w:tcPr>
            <w:tcW w:w="4478" w:type="dxa"/>
            <w:vMerge w:val="continue"/>
            <w:vAlign w:val="center"/>
          </w:tcPr>
          <w:p>
            <w:pPr>
              <w:snapToGrid w:val="0"/>
              <w:spacing w:line="3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jc w:val="center"/>
        </w:trPr>
        <w:tc>
          <w:tcPr>
            <w:tcW w:w="850" w:type="dxa"/>
            <w:vAlign w:val="center"/>
          </w:tcPr>
          <w:p>
            <w:pPr>
              <w:snapToGrid w:val="0"/>
              <w:jc w:val="center"/>
              <w:rPr>
                <w:szCs w:val="21"/>
              </w:rPr>
            </w:pPr>
            <w:r>
              <w:rPr>
                <w:rFonts w:hint="eastAsia"/>
                <w:szCs w:val="21"/>
              </w:rPr>
              <w:t>4</w:t>
            </w:r>
          </w:p>
        </w:tc>
        <w:tc>
          <w:tcPr>
            <w:tcW w:w="2892" w:type="dxa"/>
            <w:vAlign w:val="center"/>
          </w:tcPr>
          <w:p>
            <w:pPr>
              <w:snapToGrid w:val="0"/>
              <w:jc w:val="center"/>
              <w:rPr>
                <w:rFonts w:hint="eastAsia"/>
                <w:szCs w:val="21"/>
              </w:rPr>
            </w:pPr>
            <w:r>
              <w:rPr>
                <w:rFonts w:hint="eastAsia"/>
                <w:szCs w:val="21"/>
              </w:rPr>
              <w:t>氧化镁</w:t>
            </w:r>
          </w:p>
        </w:tc>
        <w:tc>
          <w:tcPr>
            <w:tcW w:w="4478" w:type="dxa"/>
            <w:vMerge w:val="continue"/>
            <w:vAlign w:val="center"/>
          </w:tcPr>
          <w:p>
            <w:pPr>
              <w:snapToGrid w:val="0"/>
              <w:spacing w:line="3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jc w:val="center"/>
        </w:trPr>
        <w:tc>
          <w:tcPr>
            <w:tcW w:w="850" w:type="dxa"/>
            <w:vAlign w:val="center"/>
          </w:tcPr>
          <w:p>
            <w:pPr>
              <w:snapToGrid w:val="0"/>
              <w:jc w:val="center"/>
              <w:rPr>
                <w:szCs w:val="21"/>
              </w:rPr>
            </w:pPr>
            <w:r>
              <w:rPr>
                <w:szCs w:val="21"/>
              </w:rPr>
              <w:t>5</w:t>
            </w:r>
          </w:p>
        </w:tc>
        <w:tc>
          <w:tcPr>
            <w:tcW w:w="2892" w:type="dxa"/>
            <w:vAlign w:val="center"/>
          </w:tcPr>
          <w:p>
            <w:pPr>
              <w:snapToGrid w:val="0"/>
              <w:jc w:val="center"/>
              <w:rPr>
                <w:rFonts w:hint="eastAsia"/>
                <w:szCs w:val="21"/>
              </w:rPr>
            </w:pPr>
            <w:r>
              <w:rPr>
                <w:rFonts w:hint="eastAsia"/>
                <w:szCs w:val="21"/>
              </w:rPr>
              <w:t>氯离子</w:t>
            </w:r>
          </w:p>
        </w:tc>
        <w:tc>
          <w:tcPr>
            <w:tcW w:w="4478" w:type="dxa"/>
            <w:vMerge w:val="continue"/>
            <w:vAlign w:val="center"/>
          </w:tcPr>
          <w:p>
            <w:pPr>
              <w:snapToGrid w:val="0"/>
              <w:spacing w:line="3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jc w:val="center"/>
        </w:trPr>
        <w:tc>
          <w:tcPr>
            <w:tcW w:w="850" w:type="dxa"/>
            <w:vAlign w:val="center"/>
          </w:tcPr>
          <w:p>
            <w:pPr>
              <w:snapToGrid w:val="0"/>
              <w:jc w:val="center"/>
              <w:rPr>
                <w:szCs w:val="21"/>
              </w:rPr>
            </w:pPr>
            <w:r>
              <w:rPr>
                <w:szCs w:val="21"/>
              </w:rPr>
              <w:t>6</w:t>
            </w:r>
          </w:p>
        </w:tc>
        <w:tc>
          <w:tcPr>
            <w:tcW w:w="2892" w:type="dxa"/>
            <w:vAlign w:val="center"/>
          </w:tcPr>
          <w:p>
            <w:pPr>
              <w:snapToGrid w:val="0"/>
              <w:jc w:val="center"/>
              <w:rPr>
                <w:rFonts w:hint="eastAsia"/>
                <w:szCs w:val="21"/>
              </w:rPr>
            </w:pPr>
            <w:r>
              <w:rPr>
                <w:rFonts w:hint="eastAsia"/>
                <w:szCs w:val="21"/>
              </w:rPr>
              <w:t>水溶性铬(Ⅵ)</w:t>
            </w:r>
          </w:p>
        </w:tc>
        <w:tc>
          <w:tcPr>
            <w:tcW w:w="4478" w:type="dxa"/>
            <w:vAlign w:val="center"/>
          </w:tcPr>
          <w:p>
            <w:pPr>
              <w:snapToGrid w:val="0"/>
              <w:jc w:val="center"/>
              <w:rPr>
                <w:szCs w:val="21"/>
              </w:rPr>
            </w:pPr>
            <w:r>
              <w:rPr>
                <w:rFonts w:hint="eastAsia"/>
                <w:szCs w:val="21"/>
              </w:rPr>
              <w:t>GB 31893-2015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jc w:val="center"/>
        </w:trPr>
        <w:tc>
          <w:tcPr>
            <w:tcW w:w="850" w:type="dxa"/>
            <w:vAlign w:val="center"/>
          </w:tcPr>
          <w:p>
            <w:pPr>
              <w:snapToGrid w:val="0"/>
              <w:jc w:val="center"/>
              <w:rPr>
                <w:szCs w:val="21"/>
              </w:rPr>
            </w:pPr>
            <w:r>
              <w:rPr>
                <w:szCs w:val="21"/>
              </w:rPr>
              <w:t>7</w:t>
            </w:r>
          </w:p>
        </w:tc>
        <w:tc>
          <w:tcPr>
            <w:tcW w:w="2892" w:type="dxa"/>
            <w:vAlign w:val="center"/>
          </w:tcPr>
          <w:p>
            <w:pPr>
              <w:snapToGrid w:val="0"/>
              <w:jc w:val="center"/>
              <w:rPr>
                <w:rFonts w:hint="eastAsia"/>
                <w:szCs w:val="21"/>
              </w:rPr>
            </w:pPr>
            <w:r>
              <w:rPr>
                <w:rFonts w:hint="eastAsia"/>
                <w:szCs w:val="21"/>
              </w:rPr>
              <w:t>凝结时间</w:t>
            </w:r>
          </w:p>
        </w:tc>
        <w:tc>
          <w:tcPr>
            <w:tcW w:w="4478" w:type="dxa"/>
            <w:vAlign w:val="center"/>
          </w:tcPr>
          <w:p>
            <w:pPr>
              <w:snapToGrid w:val="0"/>
              <w:jc w:val="center"/>
              <w:rPr>
                <w:rFonts w:hint="eastAsia"/>
                <w:szCs w:val="21"/>
              </w:rPr>
            </w:pPr>
            <w:r>
              <w:rPr>
                <w:rFonts w:hint="eastAsia"/>
                <w:szCs w:val="21"/>
              </w:rPr>
              <w:t>GB/T 1346-2011（2025年7月1日之前）</w:t>
            </w:r>
          </w:p>
          <w:p>
            <w:pPr>
              <w:snapToGrid w:val="0"/>
              <w:jc w:val="center"/>
              <w:rPr>
                <w:szCs w:val="21"/>
              </w:rPr>
            </w:pPr>
            <w:r>
              <w:rPr>
                <w:rFonts w:hint="eastAsia"/>
                <w:szCs w:val="21"/>
              </w:rPr>
              <w:t>GB/T 1346-2024（2025年7月1日及之后）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jc w:val="center"/>
        </w:trPr>
        <w:tc>
          <w:tcPr>
            <w:tcW w:w="850" w:type="dxa"/>
            <w:vAlign w:val="center"/>
          </w:tcPr>
          <w:p>
            <w:pPr>
              <w:snapToGrid w:val="0"/>
              <w:jc w:val="center"/>
              <w:rPr>
                <w:szCs w:val="21"/>
              </w:rPr>
            </w:pPr>
            <w:r>
              <w:rPr>
                <w:szCs w:val="21"/>
              </w:rPr>
              <w:t>8</w:t>
            </w:r>
          </w:p>
        </w:tc>
        <w:tc>
          <w:tcPr>
            <w:tcW w:w="2892" w:type="dxa"/>
            <w:vAlign w:val="center"/>
          </w:tcPr>
          <w:p>
            <w:pPr>
              <w:snapToGrid w:val="0"/>
              <w:jc w:val="center"/>
              <w:rPr>
                <w:rFonts w:hint="eastAsia"/>
                <w:szCs w:val="21"/>
              </w:rPr>
            </w:pPr>
            <w:r>
              <w:rPr>
                <w:rFonts w:hint="eastAsia"/>
                <w:szCs w:val="21"/>
              </w:rPr>
              <w:t>安定性</w:t>
            </w:r>
          </w:p>
        </w:tc>
        <w:tc>
          <w:tcPr>
            <w:tcW w:w="4478" w:type="dxa"/>
            <w:vAlign w:val="center"/>
          </w:tcPr>
          <w:p>
            <w:pPr>
              <w:snapToGrid w:val="0"/>
              <w:jc w:val="center"/>
              <w:rPr>
                <w:rFonts w:hint="eastAsia"/>
                <w:szCs w:val="21"/>
              </w:rPr>
            </w:pPr>
            <w:r>
              <w:rPr>
                <w:rFonts w:hint="eastAsia"/>
                <w:szCs w:val="21"/>
              </w:rPr>
              <w:t>GB/T 1346-2011（2025年7月1日之前）</w:t>
            </w:r>
          </w:p>
          <w:p>
            <w:pPr>
              <w:snapToGrid w:val="0"/>
              <w:jc w:val="center"/>
              <w:rPr>
                <w:szCs w:val="21"/>
              </w:rPr>
            </w:pPr>
            <w:r>
              <w:rPr>
                <w:rFonts w:hint="eastAsia"/>
                <w:szCs w:val="21"/>
              </w:rPr>
              <w:t>GB/T 1346-2024（2025年7月1日及之后）</w:t>
            </w:r>
          </w:p>
          <w:p>
            <w:pPr>
              <w:snapToGrid w:val="0"/>
              <w:jc w:val="center"/>
              <w:rPr>
                <w:rFonts w:hint="eastAsia"/>
                <w:szCs w:val="21"/>
              </w:rPr>
            </w:pPr>
            <w:r>
              <w:rPr>
                <w:rFonts w:hint="eastAsia"/>
                <w:szCs w:val="21"/>
              </w:rPr>
              <w:t>GB/T 750-1992（2025年5月1日之前）</w:t>
            </w:r>
          </w:p>
          <w:p>
            <w:pPr>
              <w:snapToGrid w:val="0"/>
              <w:jc w:val="center"/>
              <w:rPr>
                <w:szCs w:val="21"/>
              </w:rPr>
            </w:pPr>
            <w:r>
              <w:rPr>
                <w:rFonts w:hint="eastAsia"/>
                <w:szCs w:val="21"/>
              </w:rPr>
              <w:t>GB/T 750-2024（2025年5月1日及之后）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jc w:val="center"/>
        </w:trPr>
        <w:tc>
          <w:tcPr>
            <w:tcW w:w="850" w:type="dxa"/>
            <w:vAlign w:val="center"/>
          </w:tcPr>
          <w:p>
            <w:pPr>
              <w:snapToGrid w:val="0"/>
              <w:jc w:val="center"/>
              <w:rPr>
                <w:szCs w:val="21"/>
              </w:rPr>
            </w:pPr>
            <w:r>
              <w:rPr>
                <w:szCs w:val="21"/>
              </w:rPr>
              <w:t>9</w:t>
            </w:r>
          </w:p>
        </w:tc>
        <w:tc>
          <w:tcPr>
            <w:tcW w:w="2892" w:type="dxa"/>
            <w:vAlign w:val="center"/>
          </w:tcPr>
          <w:p>
            <w:pPr>
              <w:snapToGrid w:val="0"/>
              <w:jc w:val="center"/>
              <w:rPr>
                <w:rFonts w:hint="eastAsia"/>
                <w:szCs w:val="21"/>
              </w:rPr>
            </w:pPr>
            <w:r>
              <w:rPr>
                <w:rFonts w:hint="eastAsia"/>
                <w:szCs w:val="21"/>
              </w:rPr>
              <w:t>强度</w:t>
            </w:r>
          </w:p>
        </w:tc>
        <w:tc>
          <w:tcPr>
            <w:tcW w:w="4478" w:type="dxa"/>
            <w:vAlign w:val="center"/>
          </w:tcPr>
          <w:p>
            <w:pPr>
              <w:snapToGrid w:val="0"/>
              <w:jc w:val="center"/>
              <w:rPr>
                <w:szCs w:val="21"/>
              </w:rPr>
            </w:pPr>
            <w:r>
              <w:rPr>
                <w:rFonts w:hint="eastAsia"/>
                <w:szCs w:val="21"/>
              </w:rPr>
              <w:t>GB 175-2023</w:t>
            </w:r>
          </w:p>
          <w:p>
            <w:pPr>
              <w:snapToGrid w:val="0"/>
              <w:jc w:val="center"/>
              <w:rPr>
                <w:szCs w:val="21"/>
              </w:rPr>
            </w:pPr>
            <w:r>
              <w:rPr>
                <w:rFonts w:hint="eastAsia"/>
                <w:szCs w:val="21"/>
              </w:rPr>
              <w:t>GB/T 17671-2021</w:t>
            </w:r>
          </w:p>
          <w:p>
            <w:pPr>
              <w:snapToGrid w:val="0"/>
              <w:jc w:val="center"/>
              <w:rPr>
                <w:szCs w:val="21"/>
              </w:rPr>
            </w:pPr>
            <w:r>
              <w:rPr>
                <w:rFonts w:hint="eastAsia"/>
                <w:szCs w:val="21"/>
              </w:rPr>
              <w:t>GB/T 2419-2005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jc w:val="center"/>
        </w:trPr>
        <w:tc>
          <w:tcPr>
            <w:tcW w:w="850" w:type="dxa"/>
            <w:vAlign w:val="center"/>
          </w:tcPr>
          <w:p>
            <w:pPr>
              <w:snapToGrid w:val="0"/>
              <w:jc w:val="center"/>
              <w:rPr>
                <w:szCs w:val="21"/>
              </w:rPr>
            </w:pPr>
            <w:r>
              <w:rPr>
                <w:szCs w:val="21"/>
              </w:rPr>
              <w:t>10</w:t>
            </w:r>
          </w:p>
        </w:tc>
        <w:tc>
          <w:tcPr>
            <w:tcW w:w="2892" w:type="dxa"/>
            <w:vAlign w:val="center"/>
          </w:tcPr>
          <w:p>
            <w:pPr>
              <w:snapToGrid w:val="0"/>
              <w:jc w:val="center"/>
              <w:rPr>
                <w:rFonts w:hint="eastAsia"/>
                <w:szCs w:val="21"/>
              </w:rPr>
            </w:pPr>
            <w:r>
              <w:rPr>
                <w:rFonts w:hint="eastAsia"/>
                <w:szCs w:val="21"/>
              </w:rPr>
              <w:t>细度</w:t>
            </w:r>
          </w:p>
        </w:tc>
        <w:tc>
          <w:tcPr>
            <w:tcW w:w="4478" w:type="dxa"/>
            <w:vAlign w:val="center"/>
          </w:tcPr>
          <w:p>
            <w:pPr>
              <w:snapToGrid w:val="0"/>
              <w:jc w:val="center"/>
              <w:rPr>
                <w:szCs w:val="21"/>
              </w:rPr>
            </w:pPr>
            <w:r>
              <w:rPr>
                <w:rFonts w:hint="eastAsia"/>
                <w:szCs w:val="21"/>
              </w:rPr>
              <w:t>GB 175-2023</w:t>
            </w:r>
          </w:p>
          <w:p>
            <w:pPr>
              <w:snapToGrid w:val="0"/>
              <w:jc w:val="center"/>
              <w:rPr>
                <w:szCs w:val="21"/>
              </w:rPr>
            </w:pPr>
            <w:r>
              <w:rPr>
                <w:rFonts w:hint="eastAsia"/>
                <w:szCs w:val="21"/>
              </w:rPr>
              <w:t>GB/T 8074-2008</w:t>
            </w:r>
          </w:p>
          <w:p>
            <w:pPr>
              <w:snapToGrid w:val="0"/>
              <w:jc w:val="center"/>
              <w:rPr>
                <w:szCs w:val="21"/>
              </w:rPr>
            </w:pPr>
            <w:r>
              <w:rPr>
                <w:rFonts w:hint="eastAsia"/>
                <w:szCs w:val="21"/>
              </w:rPr>
              <w:t>GB/T 1345-2005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jc w:val="center"/>
        </w:trPr>
        <w:tc>
          <w:tcPr>
            <w:tcW w:w="850" w:type="dxa"/>
            <w:vAlign w:val="center"/>
          </w:tcPr>
          <w:p>
            <w:pPr>
              <w:snapToGrid w:val="0"/>
              <w:jc w:val="center"/>
              <w:rPr>
                <w:szCs w:val="21"/>
              </w:rPr>
            </w:pPr>
            <w:r>
              <w:rPr>
                <w:szCs w:val="21"/>
              </w:rPr>
              <w:t>11</w:t>
            </w:r>
          </w:p>
        </w:tc>
        <w:tc>
          <w:tcPr>
            <w:tcW w:w="2892" w:type="dxa"/>
            <w:vAlign w:val="center"/>
          </w:tcPr>
          <w:p>
            <w:pPr>
              <w:snapToGrid w:val="0"/>
              <w:jc w:val="center"/>
              <w:rPr>
                <w:rFonts w:hint="eastAsia"/>
                <w:szCs w:val="21"/>
              </w:rPr>
            </w:pPr>
            <w:r>
              <w:rPr>
                <w:rFonts w:hint="eastAsia"/>
                <w:szCs w:val="21"/>
              </w:rPr>
              <w:t>放射性</w:t>
            </w:r>
          </w:p>
        </w:tc>
        <w:tc>
          <w:tcPr>
            <w:tcW w:w="4478" w:type="dxa"/>
            <w:vAlign w:val="center"/>
          </w:tcPr>
          <w:p>
            <w:pPr>
              <w:snapToGrid w:val="0"/>
              <w:jc w:val="center"/>
              <w:rPr>
                <w:szCs w:val="21"/>
              </w:rPr>
            </w:pPr>
            <w:r>
              <w:rPr>
                <w:rFonts w:hint="eastAsia"/>
                <w:szCs w:val="21"/>
              </w:rPr>
              <w:t>GB 6566-2010</w:t>
            </w:r>
          </w:p>
        </w:tc>
      </w:tr>
    </w:tbl>
    <w:p>
      <w:pPr>
        <w:snapToGrid w:val="0"/>
        <w:spacing w:line="440" w:lineRule="exact"/>
        <w:jc w:val="center"/>
        <w:rPr>
          <w:szCs w:val="21"/>
        </w:rPr>
      </w:pPr>
    </w:p>
    <w:p>
      <w:pPr>
        <w:pStyle w:val="2"/>
      </w:pPr>
      <w:r>
        <w:br w:type="page"/>
      </w:r>
    </w:p>
    <w:p>
      <w:pPr>
        <w:snapToGrid w:val="0"/>
        <w:spacing w:line="440" w:lineRule="exact"/>
        <w:jc w:val="center"/>
        <w:rPr>
          <w:szCs w:val="21"/>
        </w:rPr>
      </w:pPr>
      <w:r>
        <w:rPr>
          <w:szCs w:val="21"/>
        </w:rPr>
        <w:t>表</w:t>
      </w:r>
      <w:r>
        <w:rPr>
          <w:rFonts w:hint="eastAsia"/>
          <w:szCs w:val="21"/>
        </w:rPr>
        <w:t>3</w:t>
      </w:r>
      <w:r>
        <w:t xml:space="preserve"> </w:t>
      </w:r>
      <w:r>
        <w:rPr>
          <w:rFonts w:hint="eastAsia"/>
        </w:rPr>
        <w:t xml:space="preserve"> </w:t>
      </w:r>
      <w:r>
        <w:rPr>
          <w:rFonts w:hint="eastAsia"/>
          <w:szCs w:val="21"/>
        </w:rPr>
        <w:t>砌筑水泥</w:t>
      </w:r>
      <w:r>
        <w:rPr>
          <w:szCs w:val="21"/>
        </w:rPr>
        <w:t>检验项目</w:t>
      </w:r>
    </w:p>
    <w:tbl>
      <w:tblPr>
        <w:tblStyle w:val="9"/>
        <w:tblW w:w="8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892"/>
        <w:gridCol w:w="4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jc w:val="center"/>
        </w:trPr>
        <w:tc>
          <w:tcPr>
            <w:tcW w:w="850" w:type="dxa"/>
            <w:vAlign w:val="center"/>
          </w:tcPr>
          <w:p>
            <w:pPr>
              <w:jc w:val="center"/>
              <w:rPr>
                <w:sz w:val="18"/>
                <w:szCs w:val="18"/>
              </w:rPr>
            </w:pPr>
            <w:r>
              <w:rPr>
                <w:color w:val="000000"/>
                <w:szCs w:val="21"/>
              </w:rPr>
              <w:t>序号</w:t>
            </w:r>
          </w:p>
        </w:tc>
        <w:tc>
          <w:tcPr>
            <w:tcW w:w="2892" w:type="dxa"/>
            <w:vAlign w:val="center"/>
          </w:tcPr>
          <w:p>
            <w:pPr>
              <w:jc w:val="center"/>
              <w:rPr>
                <w:sz w:val="18"/>
                <w:szCs w:val="18"/>
              </w:rPr>
            </w:pPr>
            <w:r>
              <w:rPr>
                <w:color w:val="000000"/>
                <w:szCs w:val="21"/>
              </w:rPr>
              <w:t>检验项目</w:t>
            </w:r>
          </w:p>
        </w:tc>
        <w:tc>
          <w:tcPr>
            <w:tcW w:w="4478" w:type="dxa"/>
            <w:vAlign w:val="center"/>
          </w:tcPr>
          <w:p>
            <w:pPr>
              <w:jc w:val="center"/>
              <w:rPr>
                <w:szCs w:val="21"/>
              </w:rPr>
            </w:pPr>
            <w:r>
              <w:rPr>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50" w:type="dxa"/>
            <w:vAlign w:val="center"/>
          </w:tcPr>
          <w:p>
            <w:pPr>
              <w:snapToGrid w:val="0"/>
              <w:jc w:val="center"/>
              <w:rPr>
                <w:szCs w:val="21"/>
              </w:rPr>
            </w:pPr>
            <w:r>
              <w:rPr>
                <w:szCs w:val="21"/>
              </w:rPr>
              <w:t>1</w:t>
            </w:r>
          </w:p>
        </w:tc>
        <w:tc>
          <w:tcPr>
            <w:tcW w:w="2892" w:type="dxa"/>
            <w:vAlign w:val="center"/>
          </w:tcPr>
          <w:p>
            <w:pPr>
              <w:snapToGrid w:val="0"/>
              <w:jc w:val="center"/>
              <w:rPr>
                <w:szCs w:val="21"/>
              </w:rPr>
            </w:pPr>
            <w:r>
              <w:rPr>
                <w:rFonts w:hint="eastAsia"/>
                <w:szCs w:val="21"/>
              </w:rPr>
              <w:t>三氧化硫</w:t>
            </w:r>
          </w:p>
        </w:tc>
        <w:tc>
          <w:tcPr>
            <w:tcW w:w="4478" w:type="dxa"/>
            <w:vMerge w:val="restart"/>
            <w:vAlign w:val="center"/>
          </w:tcPr>
          <w:p>
            <w:pPr>
              <w:snapToGrid w:val="0"/>
              <w:spacing w:line="320" w:lineRule="exact"/>
              <w:jc w:val="center"/>
              <w:rPr>
                <w:sz w:val="18"/>
                <w:szCs w:val="18"/>
              </w:rPr>
            </w:pPr>
            <w:r>
              <w:rPr>
                <w:rFonts w:hint="eastAsia"/>
                <w:szCs w:val="21"/>
              </w:rPr>
              <w:t>GB/T 176-2017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50" w:type="dxa"/>
            <w:vAlign w:val="center"/>
          </w:tcPr>
          <w:p>
            <w:pPr>
              <w:snapToGrid w:val="0"/>
              <w:jc w:val="center"/>
              <w:rPr>
                <w:szCs w:val="21"/>
              </w:rPr>
            </w:pPr>
            <w:r>
              <w:rPr>
                <w:szCs w:val="21"/>
              </w:rPr>
              <w:t>2</w:t>
            </w:r>
          </w:p>
        </w:tc>
        <w:tc>
          <w:tcPr>
            <w:tcW w:w="2892" w:type="dxa"/>
            <w:vAlign w:val="center"/>
          </w:tcPr>
          <w:p>
            <w:pPr>
              <w:snapToGrid w:val="0"/>
              <w:jc w:val="center"/>
              <w:rPr>
                <w:szCs w:val="21"/>
              </w:rPr>
            </w:pPr>
            <w:r>
              <w:rPr>
                <w:rFonts w:hint="eastAsia"/>
                <w:szCs w:val="21"/>
              </w:rPr>
              <w:t>氯离子</w:t>
            </w:r>
          </w:p>
        </w:tc>
        <w:tc>
          <w:tcPr>
            <w:tcW w:w="4478" w:type="dxa"/>
            <w:vMerge w:val="continue"/>
            <w:vAlign w:val="center"/>
          </w:tcPr>
          <w:p>
            <w:pPr>
              <w:snapToGrid w:val="0"/>
              <w:spacing w:line="3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50" w:type="dxa"/>
            <w:vAlign w:val="center"/>
          </w:tcPr>
          <w:p>
            <w:pPr>
              <w:snapToGrid w:val="0"/>
              <w:jc w:val="center"/>
              <w:rPr>
                <w:szCs w:val="21"/>
              </w:rPr>
            </w:pPr>
            <w:r>
              <w:rPr>
                <w:rFonts w:hint="eastAsia"/>
                <w:szCs w:val="21"/>
              </w:rPr>
              <w:t>3</w:t>
            </w:r>
          </w:p>
        </w:tc>
        <w:tc>
          <w:tcPr>
            <w:tcW w:w="2892" w:type="dxa"/>
            <w:vAlign w:val="center"/>
          </w:tcPr>
          <w:p>
            <w:pPr>
              <w:snapToGrid w:val="0"/>
              <w:jc w:val="center"/>
              <w:rPr>
                <w:szCs w:val="21"/>
              </w:rPr>
            </w:pPr>
            <w:r>
              <w:rPr>
                <w:rFonts w:hint="eastAsia"/>
                <w:szCs w:val="21"/>
              </w:rPr>
              <w:t>水泥中水溶性铬(Ⅵ)</w:t>
            </w:r>
          </w:p>
        </w:tc>
        <w:tc>
          <w:tcPr>
            <w:tcW w:w="4478" w:type="dxa"/>
            <w:vAlign w:val="center"/>
          </w:tcPr>
          <w:p>
            <w:pPr>
              <w:snapToGrid w:val="0"/>
              <w:jc w:val="center"/>
              <w:rPr>
                <w:szCs w:val="21"/>
              </w:rPr>
            </w:pPr>
            <w:r>
              <w:rPr>
                <w:rFonts w:hint="eastAsia"/>
                <w:szCs w:val="21"/>
              </w:rPr>
              <w:t>GB 31893-2015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50" w:type="dxa"/>
            <w:vAlign w:val="center"/>
          </w:tcPr>
          <w:p>
            <w:pPr>
              <w:snapToGrid w:val="0"/>
              <w:jc w:val="center"/>
              <w:rPr>
                <w:szCs w:val="21"/>
              </w:rPr>
            </w:pPr>
            <w:r>
              <w:rPr>
                <w:rFonts w:hint="eastAsia"/>
                <w:szCs w:val="21"/>
              </w:rPr>
              <w:t>4</w:t>
            </w:r>
          </w:p>
        </w:tc>
        <w:tc>
          <w:tcPr>
            <w:tcW w:w="2892" w:type="dxa"/>
            <w:vAlign w:val="center"/>
          </w:tcPr>
          <w:p>
            <w:pPr>
              <w:snapToGrid w:val="0"/>
              <w:jc w:val="center"/>
              <w:rPr>
                <w:szCs w:val="21"/>
              </w:rPr>
            </w:pPr>
            <w:r>
              <w:rPr>
                <w:rFonts w:hint="eastAsia"/>
                <w:szCs w:val="21"/>
              </w:rPr>
              <w:t>细度</w:t>
            </w:r>
          </w:p>
        </w:tc>
        <w:tc>
          <w:tcPr>
            <w:tcW w:w="4478" w:type="dxa"/>
            <w:vAlign w:val="center"/>
          </w:tcPr>
          <w:p>
            <w:pPr>
              <w:snapToGrid w:val="0"/>
              <w:jc w:val="center"/>
              <w:rPr>
                <w:szCs w:val="21"/>
              </w:rPr>
            </w:pPr>
            <w:r>
              <w:fldChar w:fldCharType="begin"/>
            </w:r>
            <w:r>
              <w:instrText xml:space="preserve"> HYPERLINK "javascript:__doPostBack('ctl00$ctl00$ContentPlaceHolder1$ContentPlaceHolder1$rptStandard$ctl00$lbtnDetail','')" \o "点击查看标准详细信息" </w:instrText>
            </w:r>
            <w:r>
              <w:fldChar w:fldCharType="separate"/>
            </w:r>
            <w:r>
              <w:rPr>
                <w:rFonts w:hint="eastAsia"/>
                <w:szCs w:val="21"/>
              </w:rPr>
              <w:t>GB/T 1345</w:t>
            </w:r>
            <w:r>
              <w:rPr>
                <w:rFonts w:hint="eastAsia"/>
                <w:szCs w:val="21"/>
              </w:rPr>
              <w:fldChar w:fldCharType="end"/>
            </w:r>
            <w:r>
              <w:rPr>
                <w:rFonts w:hint="eastAsia"/>
                <w:szCs w:val="21"/>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50" w:type="dxa"/>
            <w:vAlign w:val="center"/>
          </w:tcPr>
          <w:p>
            <w:pPr>
              <w:snapToGrid w:val="0"/>
              <w:jc w:val="center"/>
              <w:rPr>
                <w:szCs w:val="21"/>
              </w:rPr>
            </w:pPr>
            <w:r>
              <w:rPr>
                <w:szCs w:val="21"/>
              </w:rPr>
              <w:t>5</w:t>
            </w:r>
          </w:p>
        </w:tc>
        <w:tc>
          <w:tcPr>
            <w:tcW w:w="2892" w:type="dxa"/>
            <w:vAlign w:val="center"/>
          </w:tcPr>
          <w:p>
            <w:pPr>
              <w:snapToGrid w:val="0"/>
              <w:jc w:val="center"/>
              <w:rPr>
                <w:szCs w:val="21"/>
              </w:rPr>
            </w:pPr>
            <w:r>
              <w:rPr>
                <w:rFonts w:hint="eastAsia"/>
                <w:szCs w:val="21"/>
              </w:rPr>
              <w:t>凝结时</w:t>
            </w:r>
            <w:bookmarkStart w:id="0" w:name="_GoBack"/>
            <w:bookmarkEnd w:id="0"/>
            <w:r>
              <w:rPr>
                <w:rFonts w:hint="eastAsia"/>
                <w:szCs w:val="21"/>
              </w:rPr>
              <w:t>间</w:t>
            </w:r>
          </w:p>
        </w:tc>
        <w:tc>
          <w:tcPr>
            <w:tcW w:w="4478" w:type="dxa"/>
            <w:vMerge w:val="restart"/>
            <w:vAlign w:val="center"/>
          </w:tcPr>
          <w:p>
            <w:pPr>
              <w:snapToGrid w:val="0"/>
              <w:jc w:val="center"/>
              <w:rPr>
                <w:rFonts w:hint="eastAsia"/>
                <w:szCs w:val="21"/>
              </w:rPr>
            </w:pPr>
            <w:r>
              <w:rPr>
                <w:rFonts w:hint="eastAsia"/>
                <w:szCs w:val="21"/>
              </w:rPr>
              <w:t>GB/T 1346-2011（2025年7月1日之前）</w:t>
            </w:r>
          </w:p>
          <w:p>
            <w:pPr>
              <w:snapToGrid w:val="0"/>
              <w:jc w:val="center"/>
              <w:rPr>
                <w:szCs w:val="21"/>
              </w:rPr>
            </w:pPr>
            <w:r>
              <w:rPr>
                <w:rFonts w:hint="eastAsia"/>
                <w:szCs w:val="21"/>
              </w:rPr>
              <w:t>GB/T 1346-2024（2025年7月1日及之后）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50" w:type="dxa"/>
            <w:vAlign w:val="center"/>
          </w:tcPr>
          <w:p>
            <w:pPr>
              <w:snapToGrid w:val="0"/>
              <w:jc w:val="center"/>
              <w:rPr>
                <w:szCs w:val="21"/>
              </w:rPr>
            </w:pPr>
            <w:r>
              <w:rPr>
                <w:szCs w:val="21"/>
              </w:rPr>
              <w:t>6</w:t>
            </w:r>
          </w:p>
        </w:tc>
        <w:tc>
          <w:tcPr>
            <w:tcW w:w="2892" w:type="dxa"/>
            <w:vAlign w:val="center"/>
          </w:tcPr>
          <w:p>
            <w:pPr>
              <w:snapToGrid w:val="0"/>
              <w:jc w:val="center"/>
              <w:rPr>
                <w:szCs w:val="21"/>
              </w:rPr>
            </w:pPr>
            <w:r>
              <w:rPr>
                <w:rFonts w:hint="eastAsia"/>
                <w:szCs w:val="21"/>
              </w:rPr>
              <w:t>沸煮法安定性</w:t>
            </w:r>
          </w:p>
        </w:tc>
        <w:tc>
          <w:tcPr>
            <w:tcW w:w="4478" w:type="dxa"/>
            <w:vMerge w:val="continue"/>
            <w:vAlign w:val="center"/>
          </w:tcPr>
          <w:p>
            <w:pPr>
              <w:snapToGrid w:val="0"/>
              <w:spacing w:line="3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50" w:type="dxa"/>
            <w:vAlign w:val="center"/>
          </w:tcPr>
          <w:p>
            <w:pPr>
              <w:snapToGrid w:val="0"/>
              <w:jc w:val="center"/>
              <w:rPr>
                <w:szCs w:val="21"/>
              </w:rPr>
            </w:pPr>
            <w:r>
              <w:rPr>
                <w:szCs w:val="21"/>
              </w:rPr>
              <w:t>7</w:t>
            </w:r>
          </w:p>
        </w:tc>
        <w:tc>
          <w:tcPr>
            <w:tcW w:w="2892" w:type="dxa"/>
            <w:vAlign w:val="center"/>
          </w:tcPr>
          <w:p>
            <w:pPr>
              <w:snapToGrid w:val="0"/>
              <w:jc w:val="center"/>
              <w:rPr>
                <w:szCs w:val="21"/>
              </w:rPr>
            </w:pPr>
            <w:r>
              <w:rPr>
                <w:rFonts w:hint="eastAsia"/>
                <w:szCs w:val="21"/>
              </w:rPr>
              <w:t>保水率</w:t>
            </w:r>
          </w:p>
        </w:tc>
        <w:tc>
          <w:tcPr>
            <w:tcW w:w="4478" w:type="dxa"/>
            <w:vAlign w:val="center"/>
          </w:tcPr>
          <w:p>
            <w:pPr>
              <w:snapToGrid w:val="0"/>
              <w:spacing w:line="320" w:lineRule="exact"/>
              <w:jc w:val="center"/>
              <w:rPr>
                <w:sz w:val="18"/>
                <w:szCs w:val="18"/>
              </w:rPr>
            </w:pPr>
            <w:r>
              <w:fldChar w:fldCharType="begin"/>
            </w:r>
            <w:r>
              <w:instrText xml:space="preserve"> HYPERLINK "javascript:__doPostBack('ctl00$ctl00$ContentPlaceHolder1$ContentPlaceHolder1$rptStandard$ctl00$lbtnDetail','')" \o "点击查看标准详细信息" </w:instrText>
            </w:r>
            <w:r>
              <w:fldChar w:fldCharType="separate"/>
            </w:r>
            <w:r>
              <w:rPr>
                <w:rFonts w:hint="eastAsia"/>
                <w:szCs w:val="21"/>
              </w:rPr>
              <w:t>GB/T 3183</w:t>
            </w:r>
            <w:r>
              <w:rPr>
                <w:rFonts w:hint="eastAsia"/>
                <w:szCs w:val="21"/>
              </w:rPr>
              <w:fldChar w:fldCharType="end"/>
            </w:r>
            <w:r>
              <w:rPr>
                <w:rFonts w:hint="eastAsia"/>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50" w:type="dxa"/>
            <w:vAlign w:val="center"/>
          </w:tcPr>
          <w:p>
            <w:pPr>
              <w:snapToGrid w:val="0"/>
              <w:jc w:val="center"/>
              <w:rPr>
                <w:szCs w:val="21"/>
              </w:rPr>
            </w:pPr>
            <w:r>
              <w:rPr>
                <w:szCs w:val="21"/>
              </w:rPr>
              <w:t>8</w:t>
            </w:r>
          </w:p>
        </w:tc>
        <w:tc>
          <w:tcPr>
            <w:tcW w:w="2892" w:type="dxa"/>
            <w:vAlign w:val="center"/>
          </w:tcPr>
          <w:p>
            <w:pPr>
              <w:snapToGrid w:val="0"/>
              <w:jc w:val="center"/>
              <w:rPr>
                <w:szCs w:val="21"/>
              </w:rPr>
            </w:pPr>
            <w:r>
              <w:rPr>
                <w:rFonts w:hint="eastAsia"/>
                <w:szCs w:val="21"/>
              </w:rPr>
              <w:t>强度</w:t>
            </w:r>
          </w:p>
        </w:tc>
        <w:tc>
          <w:tcPr>
            <w:tcW w:w="4478" w:type="dxa"/>
            <w:vAlign w:val="center"/>
          </w:tcPr>
          <w:p>
            <w:pPr>
              <w:snapToGrid w:val="0"/>
              <w:jc w:val="center"/>
              <w:rPr>
                <w:szCs w:val="21"/>
              </w:rPr>
            </w:pPr>
            <w:r>
              <w:fldChar w:fldCharType="begin"/>
            </w:r>
            <w:r>
              <w:instrText xml:space="preserve"> HYPERLINK "javascript:__doPostBack('ctl00$ctl00$ContentPlaceHolder1$ContentPlaceHolder1$rptStandard$ctl00$lbtnDetail','')" \o "点击查看标准详细信息" </w:instrText>
            </w:r>
            <w:r>
              <w:fldChar w:fldCharType="separate"/>
            </w:r>
            <w:r>
              <w:rPr>
                <w:rFonts w:hint="eastAsia"/>
                <w:szCs w:val="21"/>
              </w:rPr>
              <w:t>GB/T 3183</w:t>
            </w:r>
            <w:r>
              <w:rPr>
                <w:rFonts w:hint="eastAsia"/>
                <w:szCs w:val="21"/>
              </w:rPr>
              <w:fldChar w:fldCharType="end"/>
            </w:r>
            <w:r>
              <w:rPr>
                <w:rFonts w:hint="eastAsia"/>
                <w:szCs w:val="21"/>
              </w:rPr>
              <w:t>-2017</w:t>
            </w:r>
          </w:p>
          <w:p>
            <w:pPr>
              <w:snapToGrid w:val="0"/>
              <w:jc w:val="center"/>
              <w:rPr>
                <w:szCs w:val="21"/>
              </w:rPr>
            </w:pPr>
            <w:r>
              <w:rPr>
                <w:rFonts w:hint="eastAsia"/>
                <w:szCs w:val="21"/>
              </w:rPr>
              <w:t>GB/T 17671-2021</w:t>
            </w:r>
          </w:p>
          <w:p>
            <w:pPr>
              <w:snapToGrid w:val="0"/>
              <w:jc w:val="center"/>
              <w:rPr>
                <w:szCs w:val="21"/>
              </w:rPr>
            </w:pPr>
            <w:r>
              <w:rPr>
                <w:rFonts w:hint="eastAsia"/>
                <w:szCs w:val="21"/>
              </w:rPr>
              <w:t>GB/T 2419-2005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50" w:type="dxa"/>
            <w:vAlign w:val="center"/>
          </w:tcPr>
          <w:p>
            <w:pPr>
              <w:snapToGrid w:val="0"/>
              <w:jc w:val="center"/>
              <w:rPr>
                <w:szCs w:val="21"/>
              </w:rPr>
            </w:pPr>
            <w:r>
              <w:rPr>
                <w:szCs w:val="21"/>
              </w:rPr>
              <w:t>9</w:t>
            </w:r>
          </w:p>
        </w:tc>
        <w:tc>
          <w:tcPr>
            <w:tcW w:w="2892" w:type="dxa"/>
            <w:vAlign w:val="center"/>
          </w:tcPr>
          <w:p>
            <w:pPr>
              <w:snapToGrid w:val="0"/>
              <w:jc w:val="center"/>
              <w:rPr>
                <w:szCs w:val="21"/>
              </w:rPr>
            </w:pPr>
            <w:r>
              <w:rPr>
                <w:rFonts w:hint="eastAsia"/>
                <w:szCs w:val="21"/>
              </w:rPr>
              <w:t>放射性</w:t>
            </w:r>
          </w:p>
        </w:tc>
        <w:tc>
          <w:tcPr>
            <w:tcW w:w="4478" w:type="dxa"/>
            <w:vAlign w:val="center"/>
          </w:tcPr>
          <w:p>
            <w:pPr>
              <w:snapToGrid w:val="0"/>
              <w:jc w:val="center"/>
              <w:rPr>
                <w:szCs w:val="21"/>
              </w:rPr>
            </w:pPr>
            <w:r>
              <w:rPr>
                <w:rFonts w:hint="eastAsia"/>
                <w:szCs w:val="21"/>
              </w:rPr>
              <w:t>GB 6566-2010</w:t>
            </w:r>
          </w:p>
        </w:tc>
      </w:tr>
    </w:tbl>
    <w:p>
      <w:pPr>
        <w:adjustRightInd w:val="0"/>
        <w:snapToGrid w:val="0"/>
        <w:spacing w:line="360" w:lineRule="auto"/>
        <w:ind w:firstLine="420" w:firstLineChars="200"/>
        <w:rPr>
          <w:color w:val="000000"/>
          <w:szCs w:val="21"/>
        </w:rPr>
      </w:pPr>
    </w:p>
    <w:p>
      <w:pPr>
        <w:adjustRightInd w:val="0"/>
        <w:snapToGrid w:val="0"/>
        <w:spacing w:line="360" w:lineRule="auto"/>
        <w:ind w:firstLine="420" w:firstLineChars="200"/>
        <w:rPr>
          <w:color w:val="000000"/>
          <w:szCs w:val="21"/>
        </w:rPr>
      </w:pPr>
      <w:r>
        <w:rPr>
          <w:rFonts w:hint="eastAsia"/>
          <w:szCs w:val="21"/>
        </w:rPr>
        <w:t>执行企业标准、团体标准、地方标准的产品，检验项目参照上述内容执行。</w:t>
      </w:r>
    </w:p>
    <w:p>
      <w:pPr>
        <w:adjustRightInd w:val="0"/>
        <w:snapToGrid w:val="0"/>
        <w:spacing w:line="360" w:lineRule="auto"/>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3、判定规则</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3.1依据标准</w:t>
      </w:r>
    </w:p>
    <w:p>
      <w:pPr>
        <w:spacing w:line="360" w:lineRule="auto"/>
        <w:ind w:firstLine="420" w:firstLineChars="200"/>
        <w:rPr>
          <w:szCs w:val="32"/>
        </w:rPr>
      </w:pPr>
      <w:r>
        <w:rPr>
          <w:rFonts w:hint="eastAsia"/>
          <w:szCs w:val="32"/>
        </w:rPr>
        <w:t>GB 175-2023《通用硅酸盐水泥》</w:t>
      </w:r>
    </w:p>
    <w:p>
      <w:pPr>
        <w:spacing w:line="360" w:lineRule="auto"/>
        <w:ind w:firstLine="420" w:firstLineChars="200"/>
        <w:rPr>
          <w:szCs w:val="32"/>
        </w:rPr>
      </w:pPr>
      <w:r>
        <w:rPr>
          <w:rFonts w:hint="eastAsia"/>
          <w:szCs w:val="32"/>
        </w:rPr>
        <w:t>GB 6566-2010《建筑材料放射性核素限量》</w:t>
      </w:r>
    </w:p>
    <w:p>
      <w:pPr>
        <w:spacing w:line="360" w:lineRule="auto"/>
        <w:ind w:firstLine="420" w:firstLineChars="200"/>
        <w:rPr>
          <w:szCs w:val="32"/>
        </w:rPr>
      </w:pPr>
      <w:r>
        <w:rPr>
          <w:rFonts w:hint="eastAsia"/>
          <w:szCs w:val="32"/>
        </w:rPr>
        <w:t>GB 31893-2015《水泥中水溶性铬（Ⅵ）的限量及测定方法》</w:t>
      </w:r>
    </w:p>
    <w:p>
      <w:pPr>
        <w:spacing w:line="360" w:lineRule="auto"/>
        <w:ind w:firstLine="420" w:firstLineChars="200"/>
        <w:rPr>
          <w:color w:val="000000"/>
          <w:szCs w:val="21"/>
        </w:rPr>
      </w:pPr>
      <w:r>
        <w:rPr>
          <w:rFonts w:hint="eastAsia"/>
          <w:szCs w:val="32"/>
        </w:rPr>
        <w:t>GB/T 3183-2017《砌筑水泥》</w:t>
      </w:r>
    </w:p>
    <w:p>
      <w:pPr>
        <w:spacing w:line="360" w:lineRule="auto"/>
        <w:ind w:firstLine="420" w:firstLineChars="200"/>
        <w:rPr>
          <w:rFonts w:hAnsi="宋体"/>
          <w:bCs/>
          <w:szCs w:val="21"/>
        </w:rPr>
      </w:pPr>
      <w:r>
        <w:rPr>
          <w:rFonts w:asciiTheme="minorEastAsia" w:hAnsiTheme="minorEastAsia" w:eastAsiaTheme="minorEastAsia"/>
          <w:color w:val="000000"/>
        </w:rPr>
        <w:t>现行有效的企业标准、团体标准、地方标准及产品明示质量要求</w:t>
      </w:r>
      <w:r>
        <w:rPr>
          <w:rFonts w:hint="eastAsia" w:asciiTheme="minorEastAsia" w:hAnsiTheme="minorEastAsia" w:eastAsiaTheme="minorEastAsia"/>
          <w:color w:val="000000"/>
        </w:rPr>
        <w:t>。</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3.2判定原则</w:t>
      </w:r>
    </w:p>
    <w:p>
      <w:pPr>
        <w:snapToGrid w:val="0"/>
        <w:spacing w:line="440" w:lineRule="exact"/>
        <w:ind w:firstLine="417" w:firstLineChars="199"/>
        <w:rPr>
          <w:color w:val="000000"/>
          <w:szCs w:val="21"/>
        </w:rPr>
      </w:pPr>
      <w:r>
        <w:rPr>
          <w:color w:val="000000"/>
          <w:szCs w:val="21"/>
        </w:rPr>
        <w:t>经检验，</w:t>
      </w:r>
      <w:r>
        <w:rPr>
          <w:rFonts w:hint="eastAsia"/>
          <w:color w:val="000000"/>
          <w:szCs w:val="21"/>
        </w:rPr>
        <w:t>所</w:t>
      </w:r>
      <w:r>
        <w:rPr>
          <w:color w:val="000000"/>
          <w:szCs w:val="21"/>
        </w:rPr>
        <w:t>检验项目全部</w:t>
      </w:r>
      <w:r>
        <w:rPr>
          <w:rFonts w:hint="eastAsia"/>
          <w:color w:val="000000"/>
          <w:szCs w:val="21"/>
        </w:rPr>
        <w:t>符合标准要求</w:t>
      </w:r>
      <w:r>
        <w:rPr>
          <w:color w:val="000000"/>
          <w:szCs w:val="21"/>
        </w:rPr>
        <w:t>，判定为被抽查产品</w:t>
      </w:r>
      <w:r>
        <w:rPr>
          <w:rFonts w:hint="eastAsia"/>
          <w:color w:val="000000"/>
          <w:szCs w:val="21"/>
        </w:rPr>
        <w:t>未发现不</w:t>
      </w:r>
      <w:r>
        <w:rPr>
          <w:color w:val="000000"/>
          <w:szCs w:val="21"/>
        </w:rPr>
        <w:t>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w:t>
      </w:r>
      <w:r>
        <w:rPr>
          <w:rFonts w:hint="eastAsia"/>
          <w:color w:val="000000"/>
          <w:szCs w:val="21"/>
        </w:rPr>
        <w:t>本</w:t>
      </w:r>
      <w:r>
        <w:rPr>
          <w:color w:val="000000"/>
          <w:szCs w:val="21"/>
        </w:rPr>
        <w:t>细则中检验项目依据的推荐性标准要求时，应以被检产品明示的质量要求判定，但应在检验报告备注中进行说明。</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FF0000"/>
          <w:szCs w:val="21"/>
        </w:rPr>
      </w:pPr>
      <w:r>
        <w:rPr>
          <w:color w:val="000000"/>
          <w:szCs w:val="21"/>
        </w:rPr>
        <w:t>若被检产品明示的质量要求缺少本细则中检验项目依据的推荐性标准要求时，该项目不参与判定，但应在检验报告备注中进行说明。</w:t>
      </w:r>
    </w:p>
    <w:p>
      <w:pPr>
        <w:spacing w:line="360" w:lineRule="auto"/>
        <w:ind w:firstLine="420" w:firstLineChars="200"/>
        <w:rPr>
          <w:rFonts w:hAnsi="宋体"/>
          <w:szCs w:val="21"/>
        </w:rPr>
      </w:pPr>
    </w:p>
    <w:sectPr>
      <w:footerReference r:id="rId3" w:type="default"/>
      <w:pgSz w:w="11906" w:h="16838"/>
      <w:pgMar w:top="1701" w:right="1418" w:bottom="1701" w:left="1418" w:header="737" w:footer="73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imesNewRomanPSMT">
    <w:altName w:val="Times New Roman"/>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C2"/>
    <w:rsid w:val="000077DA"/>
    <w:rsid w:val="00041ECB"/>
    <w:rsid w:val="00041EDB"/>
    <w:rsid w:val="000549A8"/>
    <w:rsid w:val="00065809"/>
    <w:rsid w:val="00066224"/>
    <w:rsid w:val="00070BA0"/>
    <w:rsid w:val="000760BB"/>
    <w:rsid w:val="00081883"/>
    <w:rsid w:val="00084E64"/>
    <w:rsid w:val="000877A2"/>
    <w:rsid w:val="000904F5"/>
    <w:rsid w:val="000924C1"/>
    <w:rsid w:val="00096BC6"/>
    <w:rsid w:val="000C4B9D"/>
    <w:rsid w:val="000D67CF"/>
    <w:rsid w:val="000E78C3"/>
    <w:rsid w:val="000F02B1"/>
    <w:rsid w:val="000F3A83"/>
    <w:rsid w:val="000F7261"/>
    <w:rsid w:val="00112633"/>
    <w:rsid w:val="00114BD0"/>
    <w:rsid w:val="001210C6"/>
    <w:rsid w:val="00121427"/>
    <w:rsid w:val="0012729C"/>
    <w:rsid w:val="001314EC"/>
    <w:rsid w:val="00140C1C"/>
    <w:rsid w:val="001432A5"/>
    <w:rsid w:val="00146127"/>
    <w:rsid w:val="00157F30"/>
    <w:rsid w:val="001813A8"/>
    <w:rsid w:val="00182848"/>
    <w:rsid w:val="0018740F"/>
    <w:rsid w:val="001B337D"/>
    <w:rsid w:val="001B39DC"/>
    <w:rsid w:val="001B5CA0"/>
    <w:rsid w:val="001B611C"/>
    <w:rsid w:val="001C014C"/>
    <w:rsid w:val="001C3E33"/>
    <w:rsid w:val="001D5404"/>
    <w:rsid w:val="001D7095"/>
    <w:rsid w:val="001D7835"/>
    <w:rsid w:val="001E316E"/>
    <w:rsid w:val="001E3EFC"/>
    <w:rsid w:val="001F737D"/>
    <w:rsid w:val="00200A13"/>
    <w:rsid w:val="002072EB"/>
    <w:rsid w:val="00217311"/>
    <w:rsid w:val="00235EC1"/>
    <w:rsid w:val="00240047"/>
    <w:rsid w:val="00252402"/>
    <w:rsid w:val="002574FD"/>
    <w:rsid w:val="00263901"/>
    <w:rsid w:val="00265789"/>
    <w:rsid w:val="00265A9C"/>
    <w:rsid w:val="00276C06"/>
    <w:rsid w:val="00281FA4"/>
    <w:rsid w:val="00282704"/>
    <w:rsid w:val="00286A78"/>
    <w:rsid w:val="00286DFE"/>
    <w:rsid w:val="0029203B"/>
    <w:rsid w:val="002B26DC"/>
    <w:rsid w:val="002C237F"/>
    <w:rsid w:val="002C5D77"/>
    <w:rsid w:val="002C7046"/>
    <w:rsid w:val="002C7F9B"/>
    <w:rsid w:val="002F0D2A"/>
    <w:rsid w:val="002F28D6"/>
    <w:rsid w:val="002F58FC"/>
    <w:rsid w:val="0030281B"/>
    <w:rsid w:val="00313214"/>
    <w:rsid w:val="003155CC"/>
    <w:rsid w:val="00323284"/>
    <w:rsid w:val="0034220E"/>
    <w:rsid w:val="00344DED"/>
    <w:rsid w:val="00372A29"/>
    <w:rsid w:val="00386990"/>
    <w:rsid w:val="00392AB0"/>
    <w:rsid w:val="00392D26"/>
    <w:rsid w:val="003A5472"/>
    <w:rsid w:val="003B5BCF"/>
    <w:rsid w:val="003B7300"/>
    <w:rsid w:val="003C41FB"/>
    <w:rsid w:val="003D045D"/>
    <w:rsid w:val="003E6CB4"/>
    <w:rsid w:val="003E7B3B"/>
    <w:rsid w:val="003F069E"/>
    <w:rsid w:val="00407A56"/>
    <w:rsid w:val="004116E2"/>
    <w:rsid w:val="00415819"/>
    <w:rsid w:val="00417294"/>
    <w:rsid w:val="00425215"/>
    <w:rsid w:val="00426089"/>
    <w:rsid w:val="00426C80"/>
    <w:rsid w:val="004405FB"/>
    <w:rsid w:val="004446A3"/>
    <w:rsid w:val="004532C6"/>
    <w:rsid w:val="00454AF3"/>
    <w:rsid w:val="00463219"/>
    <w:rsid w:val="00475F6B"/>
    <w:rsid w:val="00490517"/>
    <w:rsid w:val="00497ACB"/>
    <w:rsid w:val="004A5268"/>
    <w:rsid w:val="004B3813"/>
    <w:rsid w:val="004C5781"/>
    <w:rsid w:val="004C65F0"/>
    <w:rsid w:val="004D1839"/>
    <w:rsid w:val="004D3037"/>
    <w:rsid w:val="005013E7"/>
    <w:rsid w:val="00501AE2"/>
    <w:rsid w:val="005132A8"/>
    <w:rsid w:val="00522A7C"/>
    <w:rsid w:val="005237F7"/>
    <w:rsid w:val="00527910"/>
    <w:rsid w:val="00527D48"/>
    <w:rsid w:val="00540AE1"/>
    <w:rsid w:val="00542EC3"/>
    <w:rsid w:val="00547C1D"/>
    <w:rsid w:val="00557830"/>
    <w:rsid w:val="00557BE7"/>
    <w:rsid w:val="00563EAD"/>
    <w:rsid w:val="00572364"/>
    <w:rsid w:val="0057325D"/>
    <w:rsid w:val="00593359"/>
    <w:rsid w:val="005934C4"/>
    <w:rsid w:val="0059495E"/>
    <w:rsid w:val="005C048D"/>
    <w:rsid w:val="005D7D62"/>
    <w:rsid w:val="005E0F06"/>
    <w:rsid w:val="005E3D39"/>
    <w:rsid w:val="005E6F49"/>
    <w:rsid w:val="005E781C"/>
    <w:rsid w:val="005F1B8B"/>
    <w:rsid w:val="005F464A"/>
    <w:rsid w:val="005F63A2"/>
    <w:rsid w:val="005F63E1"/>
    <w:rsid w:val="00606422"/>
    <w:rsid w:val="00611242"/>
    <w:rsid w:val="00614140"/>
    <w:rsid w:val="00630242"/>
    <w:rsid w:val="00632955"/>
    <w:rsid w:val="00637024"/>
    <w:rsid w:val="00647141"/>
    <w:rsid w:val="00651065"/>
    <w:rsid w:val="00682069"/>
    <w:rsid w:val="00697C1B"/>
    <w:rsid w:val="00697E52"/>
    <w:rsid w:val="006B1495"/>
    <w:rsid w:val="006B329C"/>
    <w:rsid w:val="006B7A42"/>
    <w:rsid w:val="006C1EAD"/>
    <w:rsid w:val="006C2E00"/>
    <w:rsid w:val="006C3BC3"/>
    <w:rsid w:val="006C3CAE"/>
    <w:rsid w:val="006C46BA"/>
    <w:rsid w:val="006D69D5"/>
    <w:rsid w:val="006E66C3"/>
    <w:rsid w:val="006F422A"/>
    <w:rsid w:val="006F5A1D"/>
    <w:rsid w:val="0070205F"/>
    <w:rsid w:val="00712E41"/>
    <w:rsid w:val="007133A2"/>
    <w:rsid w:val="00721728"/>
    <w:rsid w:val="0073290B"/>
    <w:rsid w:val="007409FC"/>
    <w:rsid w:val="007517FD"/>
    <w:rsid w:val="00751CC4"/>
    <w:rsid w:val="007616DF"/>
    <w:rsid w:val="00772EB8"/>
    <w:rsid w:val="007760AA"/>
    <w:rsid w:val="00784D0A"/>
    <w:rsid w:val="00785FC2"/>
    <w:rsid w:val="00786F96"/>
    <w:rsid w:val="00793731"/>
    <w:rsid w:val="007A4BD7"/>
    <w:rsid w:val="007A585B"/>
    <w:rsid w:val="007A6B72"/>
    <w:rsid w:val="007B3551"/>
    <w:rsid w:val="007C2B0B"/>
    <w:rsid w:val="007C7D46"/>
    <w:rsid w:val="007D0673"/>
    <w:rsid w:val="007D7E53"/>
    <w:rsid w:val="007E484E"/>
    <w:rsid w:val="007E74F7"/>
    <w:rsid w:val="007F002B"/>
    <w:rsid w:val="007F052E"/>
    <w:rsid w:val="007F0543"/>
    <w:rsid w:val="007F7F69"/>
    <w:rsid w:val="00805B2F"/>
    <w:rsid w:val="008063CB"/>
    <w:rsid w:val="00813135"/>
    <w:rsid w:val="00824AE8"/>
    <w:rsid w:val="00826196"/>
    <w:rsid w:val="00827C96"/>
    <w:rsid w:val="00832CC7"/>
    <w:rsid w:val="00836C9C"/>
    <w:rsid w:val="00837209"/>
    <w:rsid w:val="008415F1"/>
    <w:rsid w:val="008425F9"/>
    <w:rsid w:val="00850C71"/>
    <w:rsid w:val="008521FF"/>
    <w:rsid w:val="00853B1D"/>
    <w:rsid w:val="00862C3A"/>
    <w:rsid w:val="008648BA"/>
    <w:rsid w:val="00866FA2"/>
    <w:rsid w:val="00871A0A"/>
    <w:rsid w:val="008720F1"/>
    <w:rsid w:val="008722F6"/>
    <w:rsid w:val="00875CB6"/>
    <w:rsid w:val="00883B8D"/>
    <w:rsid w:val="008A31B5"/>
    <w:rsid w:val="008B2639"/>
    <w:rsid w:val="008B286D"/>
    <w:rsid w:val="008B4B69"/>
    <w:rsid w:val="008B6115"/>
    <w:rsid w:val="008C3D24"/>
    <w:rsid w:val="008F50EC"/>
    <w:rsid w:val="008F518A"/>
    <w:rsid w:val="008F5653"/>
    <w:rsid w:val="008F675B"/>
    <w:rsid w:val="009000A8"/>
    <w:rsid w:val="00900645"/>
    <w:rsid w:val="00914CD8"/>
    <w:rsid w:val="009222EF"/>
    <w:rsid w:val="009321F1"/>
    <w:rsid w:val="009437C9"/>
    <w:rsid w:val="00964671"/>
    <w:rsid w:val="00970974"/>
    <w:rsid w:val="00973AF9"/>
    <w:rsid w:val="0097425A"/>
    <w:rsid w:val="0098366D"/>
    <w:rsid w:val="00984F1F"/>
    <w:rsid w:val="009A22B4"/>
    <w:rsid w:val="009A2508"/>
    <w:rsid w:val="009A7C98"/>
    <w:rsid w:val="009B0C85"/>
    <w:rsid w:val="009B179D"/>
    <w:rsid w:val="009B2A56"/>
    <w:rsid w:val="009B5CA0"/>
    <w:rsid w:val="009B6FB4"/>
    <w:rsid w:val="009B77C2"/>
    <w:rsid w:val="009C48FA"/>
    <w:rsid w:val="009C5254"/>
    <w:rsid w:val="009C5565"/>
    <w:rsid w:val="009C5FFA"/>
    <w:rsid w:val="009C7162"/>
    <w:rsid w:val="009D538A"/>
    <w:rsid w:val="009D57CA"/>
    <w:rsid w:val="009E02EE"/>
    <w:rsid w:val="009E0FB6"/>
    <w:rsid w:val="009F7C7F"/>
    <w:rsid w:val="00A00E57"/>
    <w:rsid w:val="00A012FC"/>
    <w:rsid w:val="00A12EF6"/>
    <w:rsid w:val="00A22DEE"/>
    <w:rsid w:val="00A359DA"/>
    <w:rsid w:val="00A37882"/>
    <w:rsid w:val="00A432F5"/>
    <w:rsid w:val="00A433BE"/>
    <w:rsid w:val="00A54E91"/>
    <w:rsid w:val="00A55470"/>
    <w:rsid w:val="00A61125"/>
    <w:rsid w:val="00A76FB1"/>
    <w:rsid w:val="00A83AEF"/>
    <w:rsid w:val="00A8422F"/>
    <w:rsid w:val="00A86FD3"/>
    <w:rsid w:val="00AA7A0B"/>
    <w:rsid w:val="00AB451D"/>
    <w:rsid w:val="00AC20AA"/>
    <w:rsid w:val="00AD1B1A"/>
    <w:rsid w:val="00AD304B"/>
    <w:rsid w:val="00AE4311"/>
    <w:rsid w:val="00AF1E6F"/>
    <w:rsid w:val="00AF63E9"/>
    <w:rsid w:val="00B03361"/>
    <w:rsid w:val="00B04B25"/>
    <w:rsid w:val="00B11E33"/>
    <w:rsid w:val="00B16B64"/>
    <w:rsid w:val="00B17A51"/>
    <w:rsid w:val="00B17BD8"/>
    <w:rsid w:val="00B20B16"/>
    <w:rsid w:val="00B301FF"/>
    <w:rsid w:val="00B353B5"/>
    <w:rsid w:val="00B36198"/>
    <w:rsid w:val="00B421D3"/>
    <w:rsid w:val="00B45A76"/>
    <w:rsid w:val="00B46521"/>
    <w:rsid w:val="00B5034B"/>
    <w:rsid w:val="00B52579"/>
    <w:rsid w:val="00B63B1D"/>
    <w:rsid w:val="00B66920"/>
    <w:rsid w:val="00B67547"/>
    <w:rsid w:val="00B67760"/>
    <w:rsid w:val="00B8096E"/>
    <w:rsid w:val="00B8265F"/>
    <w:rsid w:val="00B84F97"/>
    <w:rsid w:val="00B90116"/>
    <w:rsid w:val="00B974AF"/>
    <w:rsid w:val="00BA6CB1"/>
    <w:rsid w:val="00BA6FC3"/>
    <w:rsid w:val="00BC2D69"/>
    <w:rsid w:val="00BD49C0"/>
    <w:rsid w:val="00BE3472"/>
    <w:rsid w:val="00BE6F1E"/>
    <w:rsid w:val="00BF2305"/>
    <w:rsid w:val="00BF6952"/>
    <w:rsid w:val="00C043A2"/>
    <w:rsid w:val="00C058B6"/>
    <w:rsid w:val="00C07F84"/>
    <w:rsid w:val="00C15AD9"/>
    <w:rsid w:val="00C26718"/>
    <w:rsid w:val="00C32F25"/>
    <w:rsid w:val="00C355C2"/>
    <w:rsid w:val="00C36E69"/>
    <w:rsid w:val="00C56AD8"/>
    <w:rsid w:val="00C57903"/>
    <w:rsid w:val="00C621B1"/>
    <w:rsid w:val="00C65BB5"/>
    <w:rsid w:val="00C6688E"/>
    <w:rsid w:val="00C72B18"/>
    <w:rsid w:val="00C752E1"/>
    <w:rsid w:val="00C82544"/>
    <w:rsid w:val="00CA29FC"/>
    <w:rsid w:val="00CB1D30"/>
    <w:rsid w:val="00CB430A"/>
    <w:rsid w:val="00CB496D"/>
    <w:rsid w:val="00CB6DB1"/>
    <w:rsid w:val="00CC017F"/>
    <w:rsid w:val="00CC18B9"/>
    <w:rsid w:val="00CC62BD"/>
    <w:rsid w:val="00CD3DC7"/>
    <w:rsid w:val="00CD474C"/>
    <w:rsid w:val="00CD5148"/>
    <w:rsid w:val="00CD68CB"/>
    <w:rsid w:val="00CE1612"/>
    <w:rsid w:val="00CE25F3"/>
    <w:rsid w:val="00CE2C4F"/>
    <w:rsid w:val="00CE69DD"/>
    <w:rsid w:val="00CF1EC2"/>
    <w:rsid w:val="00CF3584"/>
    <w:rsid w:val="00D01181"/>
    <w:rsid w:val="00D02F91"/>
    <w:rsid w:val="00D10754"/>
    <w:rsid w:val="00D13DD5"/>
    <w:rsid w:val="00D24700"/>
    <w:rsid w:val="00D2482C"/>
    <w:rsid w:val="00D2504A"/>
    <w:rsid w:val="00D3070B"/>
    <w:rsid w:val="00D35221"/>
    <w:rsid w:val="00D45C82"/>
    <w:rsid w:val="00D460C5"/>
    <w:rsid w:val="00D465B7"/>
    <w:rsid w:val="00D50C0A"/>
    <w:rsid w:val="00D569AD"/>
    <w:rsid w:val="00D57FFE"/>
    <w:rsid w:val="00D62498"/>
    <w:rsid w:val="00D70CDC"/>
    <w:rsid w:val="00D74456"/>
    <w:rsid w:val="00D74F23"/>
    <w:rsid w:val="00D82BDC"/>
    <w:rsid w:val="00D8559E"/>
    <w:rsid w:val="00D93ACA"/>
    <w:rsid w:val="00D94E32"/>
    <w:rsid w:val="00DA74B1"/>
    <w:rsid w:val="00DC4F52"/>
    <w:rsid w:val="00DC5751"/>
    <w:rsid w:val="00DC79BC"/>
    <w:rsid w:val="00DE00F9"/>
    <w:rsid w:val="00DE1192"/>
    <w:rsid w:val="00DE1B0B"/>
    <w:rsid w:val="00DE5C66"/>
    <w:rsid w:val="00DF6072"/>
    <w:rsid w:val="00E0185C"/>
    <w:rsid w:val="00E0774B"/>
    <w:rsid w:val="00E135BC"/>
    <w:rsid w:val="00E20193"/>
    <w:rsid w:val="00E20A93"/>
    <w:rsid w:val="00E22C98"/>
    <w:rsid w:val="00E34BF6"/>
    <w:rsid w:val="00E3761F"/>
    <w:rsid w:val="00E41484"/>
    <w:rsid w:val="00E42A47"/>
    <w:rsid w:val="00E42E6F"/>
    <w:rsid w:val="00E47E17"/>
    <w:rsid w:val="00E54EF7"/>
    <w:rsid w:val="00E73377"/>
    <w:rsid w:val="00E74C87"/>
    <w:rsid w:val="00E77371"/>
    <w:rsid w:val="00E85D3B"/>
    <w:rsid w:val="00E92880"/>
    <w:rsid w:val="00EA1440"/>
    <w:rsid w:val="00EA3E5B"/>
    <w:rsid w:val="00EA4CEF"/>
    <w:rsid w:val="00EB0D5D"/>
    <w:rsid w:val="00EB192E"/>
    <w:rsid w:val="00EB3BCD"/>
    <w:rsid w:val="00EB5B04"/>
    <w:rsid w:val="00EB6DB2"/>
    <w:rsid w:val="00EB6ECF"/>
    <w:rsid w:val="00ED1159"/>
    <w:rsid w:val="00F01900"/>
    <w:rsid w:val="00F169EE"/>
    <w:rsid w:val="00F16E5C"/>
    <w:rsid w:val="00F17785"/>
    <w:rsid w:val="00F22D4B"/>
    <w:rsid w:val="00F241FC"/>
    <w:rsid w:val="00F27581"/>
    <w:rsid w:val="00F32470"/>
    <w:rsid w:val="00F45CFC"/>
    <w:rsid w:val="00F50775"/>
    <w:rsid w:val="00F568B8"/>
    <w:rsid w:val="00F601FB"/>
    <w:rsid w:val="00F6173D"/>
    <w:rsid w:val="00F62D4B"/>
    <w:rsid w:val="00F70337"/>
    <w:rsid w:val="00F7290D"/>
    <w:rsid w:val="00F72AED"/>
    <w:rsid w:val="00F907DC"/>
    <w:rsid w:val="00FA1F51"/>
    <w:rsid w:val="00FA3B5E"/>
    <w:rsid w:val="00FB214F"/>
    <w:rsid w:val="00FB38EF"/>
    <w:rsid w:val="00FC4CE2"/>
    <w:rsid w:val="00FC50F2"/>
    <w:rsid w:val="00FC5C4F"/>
    <w:rsid w:val="00FD553C"/>
    <w:rsid w:val="00FD663C"/>
    <w:rsid w:val="00FF65A2"/>
    <w:rsid w:val="00FF7F52"/>
    <w:rsid w:val="053A2D4E"/>
    <w:rsid w:val="1A8B5A01"/>
    <w:rsid w:val="20456C31"/>
    <w:rsid w:val="2DFD7937"/>
    <w:rsid w:val="3EE561F0"/>
    <w:rsid w:val="4B117389"/>
    <w:rsid w:val="58844520"/>
    <w:rsid w:val="5D0958D2"/>
    <w:rsid w:val="68065EA9"/>
    <w:rsid w:val="7D1670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28"/>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5"/>
    <w:basedOn w:val="1"/>
    <w:next w:val="1"/>
    <w:link w:val="23"/>
    <w:qFormat/>
    <w:uiPriority w:val="0"/>
    <w:pPr>
      <w:keepNext/>
      <w:keepLines/>
      <w:spacing w:before="280" w:after="290" w:line="376" w:lineRule="auto"/>
      <w:outlineLvl w:val="4"/>
    </w:pPr>
    <w:rPr>
      <w:rFonts w:ascii="Calibri" w:hAnsi="Calibri" w:eastAsia="仿宋_GB2312"/>
      <w:b/>
      <w:bCs/>
      <w:sz w:val="28"/>
      <w:szCs w:val="28"/>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24"/>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olor w:val="000000"/>
      <w:kern w:val="0"/>
      <w:sz w:val="24"/>
    </w:rPr>
  </w:style>
  <w:style w:type="character" w:styleId="11">
    <w:name w:val="Strong"/>
    <w:qFormat/>
    <w:uiPriority w:val="0"/>
    <w:rPr>
      <w:b/>
      <w:bCs/>
    </w:rPr>
  </w:style>
  <w:style w:type="character" w:styleId="12">
    <w:name w:val="Hyperlink"/>
    <w:qFormat/>
    <w:uiPriority w:val="0"/>
    <w:rPr>
      <w:color w:val="0000FF"/>
      <w:u w:val="single"/>
    </w:rPr>
  </w:style>
  <w:style w:type="paragraph" w:customStyle="1" w:styleId="13">
    <w:name w:val="Char Char1 Char Char Char Char"/>
    <w:basedOn w:val="1"/>
    <w:qFormat/>
    <w:uiPriority w:val="0"/>
    <w:pPr>
      <w:widowControl/>
      <w:spacing w:after="160" w:line="240" w:lineRule="exact"/>
      <w:jc w:val="left"/>
    </w:pPr>
    <w:rPr>
      <w:rFonts w:eastAsia="Times New Roman"/>
      <w:kern w:val="0"/>
      <w:sz w:val="20"/>
      <w:szCs w:val="20"/>
    </w:rPr>
  </w:style>
  <w:style w:type="paragraph" w:customStyle="1" w:styleId="14">
    <w:name w:val="二级无标题条"/>
    <w:basedOn w:val="1"/>
    <w:qFormat/>
    <w:uiPriority w:val="0"/>
  </w:style>
  <w:style w:type="table" w:customStyle="1" w:styleId="15">
    <w:name w:val="Table Normal"/>
    <w:semiHidden/>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16">
    <w:name w:val="Table Paragraph"/>
    <w:basedOn w:val="1"/>
    <w:qFormat/>
    <w:uiPriority w:val="1"/>
    <w:pPr>
      <w:autoSpaceDE w:val="0"/>
      <w:autoSpaceDN w:val="0"/>
      <w:jc w:val="center"/>
    </w:pPr>
    <w:rPr>
      <w:rFonts w:ascii="宋体" w:hAnsi="宋体" w:cs="宋体"/>
      <w:kern w:val="0"/>
      <w:sz w:val="22"/>
      <w:szCs w:val="22"/>
      <w:lang w:eastAsia="en-US"/>
    </w:rPr>
  </w:style>
  <w:style w:type="character" w:customStyle="1" w:styleId="17">
    <w:name w:val="未处理的提及"/>
    <w:semiHidden/>
    <w:unhideWhenUsed/>
    <w:qFormat/>
    <w:uiPriority w:val="99"/>
    <w:rPr>
      <w:color w:val="605E5C"/>
      <w:shd w:val="clear" w:color="auto" w:fill="E1DFDD"/>
    </w:rPr>
  </w:style>
  <w:style w:type="paragraph" w:styleId="18">
    <w:name w:val="List Paragraph"/>
    <w:basedOn w:val="1"/>
    <w:qFormat/>
    <w:uiPriority w:val="34"/>
    <w:pPr>
      <w:ind w:firstLine="420" w:firstLineChars="200"/>
    </w:pPr>
  </w:style>
  <w:style w:type="character" w:customStyle="1" w:styleId="19">
    <w:name w:val="fontstyle01"/>
    <w:basedOn w:val="10"/>
    <w:qFormat/>
    <w:uiPriority w:val="0"/>
    <w:rPr>
      <w:rFonts w:hint="eastAsia" w:ascii="仿宋_GB2312" w:eastAsia="仿宋_GB2312"/>
      <w:color w:val="000000"/>
      <w:sz w:val="32"/>
      <w:szCs w:val="32"/>
    </w:rPr>
  </w:style>
  <w:style w:type="character" w:customStyle="1" w:styleId="20">
    <w:name w:val="fontstyle11"/>
    <w:basedOn w:val="10"/>
    <w:qFormat/>
    <w:uiPriority w:val="0"/>
    <w:rPr>
      <w:rFonts w:hint="default" w:ascii="TimesNewRomanPSMT" w:hAnsi="TimesNewRomanPSMT"/>
      <w:color w:val="000000"/>
      <w:sz w:val="32"/>
      <w:szCs w:val="32"/>
    </w:rPr>
  </w:style>
  <w:style w:type="character" w:customStyle="1" w:styleId="21">
    <w:name w:val="fontstyle21"/>
    <w:basedOn w:val="10"/>
    <w:qFormat/>
    <w:uiPriority w:val="0"/>
    <w:rPr>
      <w:rFonts w:hint="default" w:ascii="TimesNewRomanPSMT" w:hAnsi="TimesNewRomanPSMT"/>
      <w:color w:val="000000"/>
      <w:sz w:val="32"/>
      <w:szCs w:val="32"/>
    </w:rPr>
  </w:style>
  <w:style w:type="character" w:customStyle="1" w:styleId="22">
    <w:name w:val="fontstyle31"/>
    <w:basedOn w:val="10"/>
    <w:qFormat/>
    <w:uiPriority w:val="0"/>
    <w:rPr>
      <w:rFonts w:hint="eastAsia" w:ascii="华文仿宋" w:hAnsi="华文仿宋" w:eastAsia="华文仿宋"/>
      <w:color w:val="000000"/>
      <w:sz w:val="32"/>
      <w:szCs w:val="32"/>
    </w:rPr>
  </w:style>
  <w:style w:type="character" w:customStyle="1" w:styleId="23">
    <w:name w:val="标题 5 Char"/>
    <w:basedOn w:val="10"/>
    <w:link w:val="5"/>
    <w:qFormat/>
    <w:uiPriority w:val="0"/>
    <w:rPr>
      <w:rFonts w:ascii="Calibri" w:hAnsi="Calibri" w:eastAsia="仿宋_GB2312"/>
      <w:b/>
      <w:bCs/>
      <w:kern w:val="2"/>
      <w:sz w:val="28"/>
      <w:szCs w:val="28"/>
    </w:rPr>
  </w:style>
  <w:style w:type="character" w:customStyle="1" w:styleId="24">
    <w:name w:val="纯文本 Char"/>
    <w:basedOn w:val="10"/>
    <w:link w:val="2"/>
    <w:qFormat/>
    <w:uiPriority w:val="0"/>
    <w:rPr>
      <w:rFonts w:ascii="宋体" w:hAnsi="Courier New"/>
      <w:kern w:val="2"/>
      <w:sz w:val="21"/>
      <w:szCs w:val="21"/>
    </w:rPr>
  </w:style>
  <w:style w:type="paragraph" w:customStyle="1" w:styleId="25">
    <w:name w:val="公文"/>
    <w:basedOn w:val="1"/>
    <w:qFormat/>
    <w:uiPriority w:val="0"/>
    <w:pPr>
      <w:widowControl/>
      <w:adjustRightInd w:val="0"/>
      <w:snapToGrid w:val="0"/>
      <w:spacing w:beforeLines="25" w:afterLines="35"/>
      <w:ind w:firstLine="200" w:firstLineChars="200"/>
      <w:jc w:val="left"/>
    </w:pPr>
    <w:rPr>
      <w:rFonts w:ascii="仿宋_GB2312" w:eastAsia="仿宋_GB2312"/>
      <w:bCs/>
      <w:kern w:val="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3E8D1-AD5A-466C-8E5A-6B61D362D2E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294</Words>
  <Characters>1679</Characters>
  <Lines>13</Lines>
  <Paragraphs>3</Paragraphs>
  <TotalTime>3</TotalTime>
  <ScaleCrop>false</ScaleCrop>
  <LinksUpToDate>false</LinksUpToDate>
  <CharactersWithSpaces>1970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2025-05-12T07:36:00Z</dcterms:created>
  <dc:creator>胡少玲</dc:creator>
  <cp:lastModifiedBy>Administrator</cp:lastModifiedBy>
  <dcterms:modified xsi:type="dcterms:W3CDTF">2025-05-19T07:30:56Z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72C47102A7ED45D6B2DA21A2FC0B4997</vt:lpwstr>
  </property>
</Properties>
</file>