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eastAsia="宋体"/>
          <w:b/>
          <w:bCs/>
          <w:sz w:val="32"/>
          <w:szCs w:val="32"/>
        </w:rPr>
      </w:pPr>
      <w:r>
        <w:rPr>
          <w:rFonts w:hint="eastAsia" w:eastAsia="宋体"/>
          <w:b/>
          <w:bCs/>
          <w:sz w:val="32"/>
          <w:szCs w:val="32"/>
        </w:rPr>
        <w:t xml:space="preserve">  评分表</w:t>
      </w:r>
    </w:p>
    <w:tbl>
      <w:tblPr>
        <w:tblStyle w:val="12"/>
        <w:tblW w:w="917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169"/>
        <w:gridCol w:w="781"/>
        <w:gridCol w:w="66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62" w:type="dxa"/>
            <w:vAlign w:val="center"/>
          </w:tcPr>
          <w:p>
            <w:pPr>
              <w:spacing w:before="78" w:line="22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8"/>
                <w:szCs w:val="21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spacing w:before="205" w:line="265" w:lineRule="auto"/>
              <w:ind w:right="169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评估项目</w:t>
            </w:r>
          </w:p>
        </w:tc>
        <w:tc>
          <w:tcPr>
            <w:tcW w:w="781" w:type="dxa"/>
            <w:vAlign w:val="center"/>
          </w:tcPr>
          <w:p>
            <w:pPr>
              <w:spacing w:before="78" w:line="223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-10"/>
                <w:szCs w:val="21"/>
              </w:rPr>
              <w:t>分值</w:t>
            </w:r>
          </w:p>
        </w:tc>
        <w:tc>
          <w:tcPr>
            <w:tcW w:w="6666" w:type="dxa"/>
            <w:vAlign w:val="center"/>
          </w:tcPr>
          <w:p>
            <w:pPr>
              <w:spacing w:before="78" w:line="22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评估内容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报价得分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9"/>
                <w:szCs w:val="21"/>
              </w:rPr>
              <w:t>25分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color w:val="auto"/>
              </w:rPr>
              <w:t>报价得分＝（</w:t>
            </w:r>
            <w:r>
              <w:rPr>
                <w:rFonts w:hint="eastAsia"/>
                <w:color w:val="auto"/>
                <w:lang w:eastAsia="zh-CN"/>
              </w:rPr>
              <w:t>评选</w:t>
            </w:r>
            <w:r>
              <w:rPr>
                <w:color w:val="auto"/>
              </w:rPr>
              <w:t>基准价/</w:t>
            </w:r>
            <w:r>
              <w:rPr>
                <w:rFonts w:hint="eastAsia"/>
                <w:color w:val="auto"/>
                <w:lang w:eastAsia="zh-CN"/>
              </w:rPr>
              <w:t>供应商</w:t>
            </w:r>
            <w:r>
              <w:rPr>
                <w:color w:val="auto"/>
              </w:rPr>
              <w:t>报价）×价格分值【注：满足</w:t>
            </w:r>
            <w:r>
              <w:rPr>
                <w:rFonts w:hint="eastAsia"/>
                <w:color w:val="auto"/>
                <w:lang w:eastAsia="zh-CN"/>
              </w:rPr>
              <w:t>采购公告</w:t>
            </w:r>
            <w:r>
              <w:rPr>
                <w:color w:val="auto"/>
              </w:rPr>
              <w:t>要求且价格最低的报价为评</w:t>
            </w:r>
            <w:r>
              <w:rPr>
                <w:rFonts w:hint="eastAsia"/>
                <w:color w:val="auto"/>
                <w:lang w:eastAsia="zh-CN"/>
              </w:rPr>
              <w:t>选</w:t>
            </w:r>
            <w:r>
              <w:rPr>
                <w:color w:val="auto"/>
              </w:rPr>
              <w:t>基准价。】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86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ind w:right="169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医疗机构执业资格许可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9"/>
                <w:szCs w:val="21"/>
              </w:rPr>
              <w:t>10分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二级医院及以上医院得10分，一级医院及其它医疗机构得5分。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注：提供《医疗机构执业资格许可证》、医院等级证明和可开展体检服务证明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62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ind w:right="169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2"/>
                <w:szCs w:val="21"/>
              </w:rPr>
              <w:t>执业医生、技师资质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4"/>
                <w:szCs w:val="21"/>
              </w:rPr>
              <w:t>20</w:t>
            </w:r>
            <w:r>
              <w:rPr>
                <w:rFonts w:hint="eastAsia" w:asciiTheme="minorEastAsia" w:hAnsiTheme="minorEastAsia" w:cstheme="minorEastAsia"/>
                <w:color w:val="auto"/>
                <w:spacing w:val="-42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pacing w:val="-4"/>
                <w:szCs w:val="21"/>
              </w:rPr>
              <w:t>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1、拟派投入本次体检服务的外科 、内科 、超声科 、放射科 、 妇科的主检医生，每专科具有一个有高级职称（主任医师 、副主任医师）的医生的得2分，每个科室最多得4分，本项最多得16分。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2、检验科每有一个高级职称技师（主任技师、副主任技师）得2分，最多得 4 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注：人员不得重复使用 。医生提供医师执业证 、职称证复印件和注册证明，且医师执业地点与供应商名称一致，检验科技师提供职称证。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498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检验实验室标准等级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8"/>
                <w:position w:val="10"/>
                <w:szCs w:val="21"/>
              </w:rPr>
              <w:t>15分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自有医学检测实验室，提供202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年度广东省实验室室间质评证书（如常规化学、肿瘤标志物、糖化血红蛋白、内分泌、特殊蛋白、全血细胞、尿液分析、尿沉渣、粪便潜血等），每份证书加1.5分，此项最多15分。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注：提供证书复印件，室间质评证书主体名称需与医疗机构执业许可证名称一致，否则不得分。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149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spacing w:before="303"/>
              <w:ind w:right="169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 xml:space="preserve"> 履约能力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>5分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供应商从 2021 年至今具有承接类似团体体检经验的，每有一个类似团检项目经验得1分，最多得5分。</w:t>
            </w:r>
          </w:p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注：提供体检合同复印件或中标通知书。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60" w:hRule="atLeast"/>
        </w:trPr>
        <w:tc>
          <w:tcPr>
            <w:tcW w:w="562" w:type="dxa"/>
            <w:vAlign w:val="center"/>
          </w:tcPr>
          <w:p>
            <w:pPr>
              <w:spacing w:before="78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6"/>
                <w:szCs w:val="21"/>
              </w:rPr>
            </w:pPr>
            <w:r>
              <w:rPr>
                <w:color w:val="auto"/>
              </w:rPr>
              <w:t>应急服务方案</w:t>
            </w:r>
          </w:p>
        </w:tc>
        <w:tc>
          <w:tcPr>
            <w:tcW w:w="781" w:type="dxa"/>
            <w:vAlign w:val="center"/>
          </w:tcPr>
          <w:p>
            <w:pPr>
              <w:spacing w:before="78"/>
              <w:jc w:val="center"/>
              <w:rPr>
                <w:rFonts w:asciiTheme="minorEastAsia" w:hAnsiTheme="minorEastAsia" w:cstheme="minorEastAsia"/>
                <w:color w:val="auto"/>
                <w:spacing w:val="-6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szCs w:val="21"/>
              </w:rPr>
              <w:t>5分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-2"/>
                <w:szCs w:val="21"/>
              </w:rPr>
            </w:pPr>
            <w:r>
              <w:rPr>
                <w:color w:val="auto"/>
              </w:rPr>
              <w:t>根据</w:t>
            </w:r>
            <w:r>
              <w:rPr>
                <w:rFonts w:hint="eastAsia"/>
                <w:color w:val="auto"/>
                <w:lang w:eastAsia="zh-CN"/>
              </w:rPr>
              <w:t>供应商</w:t>
            </w:r>
            <w:r>
              <w:rPr>
                <w:color w:val="auto"/>
              </w:rPr>
              <w:t>针对本项目突发医疗状况、公共卫生事件、停电消防火灾、排队等候过长等制定相应应急服务方案进行评审，包括能针对上述所列的各类突发事件制定符合本项目采购需求详细、合理可行的应急预案，各类突发事件的应对措施有效全面，人员岗位设置明确、设备安排合理，并能根据项目性质或采购需求提出合理可行的建议等内容，方案翔实完整，完全满足或优于采购需求，得5分；方案基本完整，部分满足采购需求，得3分</w:t>
            </w:r>
            <w:r>
              <w:rPr>
                <w:rFonts w:hint="eastAsia"/>
                <w:color w:val="auto"/>
              </w:rPr>
              <w:t>;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不满足采购需求或没有提供应急服务方案不得分。</w:t>
            </w:r>
            <w:r>
              <w:rPr>
                <w:color w:val="auto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819" w:hRule="atLeast"/>
        </w:trPr>
        <w:tc>
          <w:tcPr>
            <w:tcW w:w="562" w:type="dxa"/>
            <w:vAlign w:val="center"/>
          </w:tcPr>
          <w:p>
            <w:pPr>
              <w:spacing w:before="78" w:line="180" w:lineRule="auto"/>
              <w:ind w:left="296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spacing w:line="249" w:lineRule="auto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</w:p>
          <w:p>
            <w:pPr>
              <w:spacing w:line="249" w:lineRule="auto"/>
              <w:jc w:val="center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服务方案</w:t>
            </w:r>
          </w:p>
          <w:p>
            <w:pPr>
              <w:spacing w:before="78" w:line="241" w:lineRule="auto"/>
              <w:ind w:right="169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before="78" w:line="224" w:lineRule="auto"/>
              <w:jc w:val="center"/>
              <w:rPr>
                <w:rFonts w:asciiTheme="minorEastAsia" w:hAnsiTheme="minorEastAsia" w:cstheme="minorEastAsia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napToGrid w:val="0"/>
                <w:color w:val="auto"/>
                <w:kern w:val="0"/>
                <w:szCs w:val="21"/>
              </w:rPr>
              <w:t>20</w:t>
            </w:r>
          </w:p>
        </w:tc>
        <w:tc>
          <w:tcPr>
            <w:tcW w:w="6666" w:type="dxa"/>
            <w:vAlign w:val="center"/>
          </w:tcPr>
          <w:p>
            <w:pPr>
              <w:spacing w:before="114"/>
              <w:ind w:right="103"/>
              <w:rPr>
                <w:rFonts w:asciiTheme="minorEastAsia" w:hAnsiTheme="minorEastAsia" w:cstheme="minorEastAsia"/>
                <w:color w:val="auto"/>
                <w:spacing w:val="9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2"/>
                <w:szCs w:val="21"/>
              </w:rPr>
              <w:t>根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据供应商对本项目提供的服务方案，按服务方案以下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方面的内容的科学性、合理性、可操作性和保障顺利实施进行评审，优于采购需求得20分，满足采购需求的，得15分，基本满足采购需求的，得8分，不满足采购需求或没有提供服务方案不得分。</w:t>
            </w:r>
          </w:p>
          <w:p>
            <w:pPr>
              <w:spacing w:before="114"/>
              <w:ind w:right="103"/>
              <w:rPr>
                <w:rFonts w:hint="eastAsia" w:asciiTheme="minorEastAsia" w:hAnsiTheme="minorEastAsia" w:eastAsiaTheme="minorEastAsia" w:cstheme="minorEastAsia"/>
                <w:snapToGrid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服务方案评审内容：1.体检实施前的注意事项；2.专场体检安排与体检环境；3.体检现场急救及其他意外防范措施；4.检出重大阳性指标处理流程与医疗指导；5.检后报告解读服务；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</w:rPr>
              <w:t>交通便利性</w:t>
            </w:r>
            <w:r>
              <w:rPr>
                <w:rFonts w:hint="eastAsia" w:asciiTheme="minorEastAsia" w:hAnsiTheme="minorEastAsia" w:cstheme="minorEastAsia"/>
                <w:color w:val="auto"/>
                <w:spacing w:val="9"/>
                <w:szCs w:val="21"/>
                <w:lang w:eastAsia="zh-CN"/>
              </w:rPr>
              <w:t>。</w:t>
            </w:r>
          </w:p>
        </w:tc>
      </w:tr>
    </w:tbl>
    <w:p>
      <w:pPr>
        <w:rPr>
          <w:rFonts w:eastAsia="宋体"/>
          <w:b/>
          <w:bCs/>
          <w:color w:val="auto"/>
          <w:sz w:val="32"/>
          <w:szCs w:val="32"/>
        </w:rPr>
      </w:pPr>
    </w:p>
    <w:p>
      <w:pPr>
        <w:pStyle w:val="4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pStyle w:val="10"/>
        <w:rPr>
          <w:b/>
          <w:sz w:val="32"/>
          <w:szCs w:val="32"/>
        </w:rPr>
      </w:pPr>
    </w:p>
    <w:p>
      <w:pPr>
        <w:ind w:firstLine="24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TMzMzA4YTQyMzQxNjJkZmE5MjIyYjE4MWUwNDcifQ=="/>
    <w:docVar w:name="KSO_WPS_MARK_KEY" w:val="7a7e19ea-3a29-4e9a-9628-684741055c4b"/>
  </w:docVars>
  <w:rsids>
    <w:rsidRoot w:val="18EC2C25"/>
    <w:rsid w:val="001D7D27"/>
    <w:rsid w:val="00225378"/>
    <w:rsid w:val="003F53FD"/>
    <w:rsid w:val="006E1148"/>
    <w:rsid w:val="00764944"/>
    <w:rsid w:val="007E7946"/>
    <w:rsid w:val="00825695"/>
    <w:rsid w:val="00907AC5"/>
    <w:rsid w:val="00940F37"/>
    <w:rsid w:val="00B13A27"/>
    <w:rsid w:val="00B724F9"/>
    <w:rsid w:val="00C151C8"/>
    <w:rsid w:val="00DA6A1F"/>
    <w:rsid w:val="00F2736F"/>
    <w:rsid w:val="02B96008"/>
    <w:rsid w:val="031F4D7B"/>
    <w:rsid w:val="03FB03BA"/>
    <w:rsid w:val="051B76CD"/>
    <w:rsid w:val="05A84572"/>
    <w:rsid w:val="076337ED"/>
    <w:rsid w:val="07660241"/>
    <w:rsid w:val="07794418"/>
    <w:rsid w:val="094E2B2C"/>
    <w:rsid w:val="09B35A13"/>
    <w:rsid w:val="0D4C612B"/>
    <w:rsid w:val="0DF77E44"/>
    <w:rsid w:val="0E1E1875"/>
    <w:rsid w:val="0EB977F0"/>
    <w:rsid w:val="0F3F720B"/>
    <w:rsid w:val="120C2EE0"/>
    <w:rsid w:val="124608DC"/>
    <w:rsid w:val="13901E58"/>
    <w:rsid w:val="14115666"/>
    <w:rsid w:val="141A1F4C"/>
    <w:rsid w:val="14B20F69"/>
    <w:rsid w:val="14C8795A"/>
    <w:rsid w:val="161E12A7"/>
    <w:rsid w:val="17C805EE"/>
    <w:rsid w:val="17EB5659"/>
    <w:rsid w:val="18EC2C25"/>
    <w:rsid w:val="1A5B7F6B"/>
    <w:rsid w:val="1A9757E3"/>
    <w:rsid w:val="1ADA7535"/>
    <w:rsid w:val="1B0F38A8"/>
    <w:rsid w:val="1C512E16"/>
    <w:rsid w:val="1CE03686"/>
    <w:rsid w:val="1CF71C0F"/>
    <w:rsid w:val="1D61177E"/>
    <w:rsid w:val="1E85324A"/>
    <w:rsid w:val="1E991657"/>
    <w:rsid w:val="21AB6BFC"/>
    <w:rsid w:val="22D72152"/>
    <w:rsid w:val="24106C02"/>
    <w:rsid w:val="242519CA"/>
    <w:rsid w:val="24DE1906"/>
    <w:rsid w:val="25096983"/>
    <w:rsid w:val="258B03EA"/>
    <w:rsid w:val="25A71CF8"/>
    <w:rsid w:val="25B963BE"/>
    <w:rsid w:val="263E08AF"/>
    <w:rsid w:val="26800FF5"/>
    <w:rsid w:val="26F17FAC"/>
    <w:rsid w:val="275027EC"/>
    <w:rsid w:val="275236C2"/>
    <w:rsid w:val="29171016"/>
    <w:rsid w:val="29583A35"/>
    <w:rsid w:val="29D15E68"/>
    <w:rsid w:val="2AF21631"/>
    <w:rsid w:val="2C031008"/>
    <w:rsid w:val="2D6F75A0"/>
    <w:rsid w:val="2D75316F"/>
    <w:rsid w:val="2D99784E"/>
    <w:rsid w:val="2E1E1336"/>
    <w:rsid w:val="2E6D7F83"/>
    <w:rsid w:val="2FC3759F"/>
    <w:rsid w:val="300C557A"/>
    <w:rsid w:val="30676AA6"/>
    <w:rsid w:val="30DE2AB3"/>
    <w:rsid w:val="310D3357"/>
    <w:rsid w:val="31866977"/>
    <w:rsid w:val="33566EBE"/>
    <w:rsid w:val="33A3303F"/>
    <w:rsid w:val="341361D1"/>
    <w:rsid w:val="364F504D"/>
    <w:rsid w:val="367D0F7F"/>
    <w:rsid w:val="373C0874"/>
    <w:rsid w:val="37A12A4B"/>
    <w:rsid w:val="37E64902"/>
    <w:rsid w:val="38C74734"/>
    <w:rsid w:val="39557F91"/>
    <w:rsid w:val="3A275BAB"/>
    <w:rsid w:val="3AB260EF"/>
    <w:rsid w:val="3ACF167E"/>
    <w:rsid w:val="3C892EDA"/>
    <w:rsid w:val="3DA768E2"/>
    <w:rsid w:val="3F8C2460"/>
    <w:rsid w:val="403628F8"/>
    <w:rsid w:val="40AD2461"/>
    <w:rsid w:val="40F67C83"/>
    <w:rsid w:val="42BC67E0"/>
    <w:rsid w:val="43D146B8"/>
    <w:rsid w:val="43FE2FD4"/>
    <w:rsid w:val="44816740"/>
    <w:rsid w:val="44E37D86"/>
    <w:rsid w:val="44F543D6"/>
    <w:rsid w:val="45BE6EBE"/>
    <w:rsid w:val="4625637F"/>
    <w:rsid w:val="4662583A"/>
    <w:rsid w:val="46F54B62"/>
    <w:rsid w:val="47262F6D"/>
    <w:rsid w:val="47C84024"/>
    <w:rsid w:val="4A8F7895"/>
    <w:rsid w:val="4A907B14"/>
    <w:rsid w:val="4B425E9C"/>
    <w:rsid w:val="4B5B2430"/>
    <w:rsid w:val="4C404189"/>
    <w:rsid w:val="4D597AF4"/>
    <w:rsid w:val="4D862070"/>
    <w:rsid w:val="4E9D1D67"/>
    <w:rsid w:val="500F0207"/>
    <w:rsid w:val="507006B1"/>
    <w:rsid w:val="50B74C36"/>
    <w:rsid w:val="511C3117"/>
    <w:rsid w:val="514A5206"/>
    <w:rsid w:val="52AF4864"/>
    <w:rsid w:val="53D95470"/>
    <w:rsid w:val="540B1521"/>
    <w:rsid w:val="563D6702"/>
    <w:rsid w:val="56DC53F6"/>
    <w:rsid w:val="573A0882"/>
    <w:rsid w:val="5A961BCC"/>
    <w:rsid w:val="5B5E1B63"/>
    <w:rsid w:val="5C9D2F32"/>
    <w:rsid w:val="5CFC234E"/>
    <w:rsid w:val="5D462136"/>
    <w:rsid w:val="5DB669A1"/>
    <w:rsid w:val="5EC7073A"/>
    <w:rsid w:val="5F9A3FDC"/>
    <w:rsid w:val="62151563"/>
    <w:rsid w:val="62261C95"/>
    <w:rsid w:val="6410048D"/>
    <w:rsid w:val="6672542F"/>
    <w:rsid w:val="678C6E29"/>
    <w:rsid w:val="685812B8"/>
    <w:rsid w:val="686A5863"/>
    <w:rsid w:val="69E14DA6"/>
    <w:rsid w:val="6AA45DD3"/>
    <w:rsid w:val="6B855C05"/>
    <w:rsid w:val="6E2D119A"/>
    <w:rsid w:val="6F815400"/>
    <w:rsid w:val="71297032"/>
    <w:rsid w:val="72676064"/>
    <w:rsid w:val="72716850"/>
    <w:rsid w:val="740C6EC3"/>
    <w:rsid w:val="759E6D50"/>
    <w:rsid w:val="75BD36CD"/>
    <w:rsid w:val="76BB2CAC"/>
    <w:rsid w:val="77274014"/>
    <w:rsid w:val="773A7BF3"/>
    <w:rsid w:val="77CD049D"/>
    <w:rsid w:val="77DF8A28"/>
    <w:rsid w:val="7AA24139"/>
    <w:rsid w:val="7BE81FC4"/>
    <w:rsid w:val="7C2B0102"/>
    <w:rsid w:val="7CA921AD"/>
    <w:rsid w:val="7CDF44A7"/>
    <w:rsid w:val="D8E55242"/>
    <w:rsid w:val="E3FEA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表格文字"/>
    <w:basedOn w:val="1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989</Words>
  <Characters>1012</Characters>
  <Lines>171</Lines>
  <Paragraphs>48</Paragraphs>
  <TotalTime>2379</TotalTime>
  <ScaleCrop>false</ScaleCrop>
  <LinksUpToDate>false</LinksUpToDate>
  <CharactersWithSpaces>1030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2022-12-02T02:41:00Z</dcterms:created>
  <dc:creator>艺</dc:creator>
  <cp:lastModifiedBy>金林</cp:lastModifiedBy>
  <cp:lastPrinted>2025-02-27T08:02:00Z</cp:lastPrinted>
  <dcterms:modified xsi:type="dcterms:W3CDTF">2025-03-19T08:43:39Z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DA5A6C844C5444A3B878BC993041C724_13</vt:lpwstr>
  </property>
  <property fmtid="{D5CDD505-2E9C-101B-9397-08002B2CF9AE}" pid="4" name="KSOTemplateDocerSaveRecord">
    <vt:lpwstr>eyJoZGlkIjoiNzc1ODYxMDc4MGM4OWQ4ZWViMmIyNjM5MmJhMDU3YzkiLCJ1c2VySWQiOiIxOTcxNDIwNjIifQ==</vt:lpwstr>
  </property>
</Properties>
</file>