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sz w:val="44"/>
          <w:szCs w:val="44"/>
        </w:rPr>
      </w:pPr>
      <w:r>
        <w:rPr>
          <w:rFonts w:hint="eastAsia"/>
          <w:sz w:val="44"/>
          <w:szCs w:val="44"/>
        </w:rPr>
        <w:t>广州市海珠区（江海街红卫村、桂田村，凤和经济联社江贝一、二社）火灾隐患重点地区</w:t>
      </w:r>
    </w:p>
    <w:p>
      <w:pPr>
        <w:jc w:val="center"/>
        <w:rPr>
          <w:sz w:val="44"/>
          <w:szCs w:val="44"/>
        </w:rPr>
      </w:pPr>
      <w:r>
        <w:rPr>
          <w:rFonts w:hint="eastAsia"/>
          <w:sz w:val="44"/>
          <w:szCs w:val="44"/>
        </w:rPr>
        <w:t>整治工作排查评估项目</w:t>
      </w:r>
    </w:p>
    <w:p>
      <w:pPr>
        <w:jc w:val="center"/>
        <w:rPr>
          <w:sz w:val="44"/>
          <w:szCs w:val="44"/>
        </w:rPr>
      </w:pPr>
    </w:p>
    <w:p>
      <w:pPr>
        <w:jc w:val="center"/>
        <w:rPr>
          <w:sz w:val="44"/>
          <w:szCs w:val="44"/>
        </w:rPr>
      </w:pPr>
    </w:p>
    <w:p>
      <w:pPr>
        <w:jc w:val="center"/>
        <w:rPr>
          <w:sz w:val="44"/>
          <w:szCs w:val="44"/>
        </w:rPr>
      </w:pPr>
    </w:p>
    <w:p>
      <w:pPr>
        <w:pStyle w:val="12"/>
        <w:widowControl/>
        <w:jc w:val="center"/>
        <w:rPr>
          <w:rFonts w:ascii="宋体" w:hAnsi="宋体" w:cs="宋体"/>
          <w:b/>
          <w:bCs w:val="0"/>
          <w:sz w:val="72"/>
          <w:szCs w:val="72"/>
        </w:rPr>
      </w:pPr>
    </w:p>
    <w:p>
      <w:pPr>
        <w:pStyle w:val="12"/>
        <w:widowControl/>
        <w:jc w:val="center"/>
        <w:rPr>
          <w:rFonts w:ascii="宋体" w:hAnsi="宋体" w:cs="宋体"/>
          <w:b/>
          <w:bCs w:val="0"/>
          <w:sz w:val="72"/>
          <w:szCs w:val="72"/>
        </w:rPr>
      </w:pPr>
      <w:r>
        <w:rPr>
          <w:rFonts w:hint="eastAsia" w:ascii="宋体" w:hAnsi="宋体" w:cs="宋体"/>
          <w:b/>
          <w:bCs w:val="0"/>
          <w:sz w:val="72"/>
          <w:szCs w:val="72"/>
        </w:rPr>
        <w:t>采购需求书</w:t>
      </w:r>
    </w:p>
    <w:p>
      <w:pPr>
        <w:pStyle w:val="12"/>
        <w:widowControl/>
        <w:jc w:val="center"/>
        <w:rPr>
          <w:rFonts w:ascii="宋体" w:hAnsi="宋体" w:cs="宋体"/>
          <w:b/>
          <w:bCs w:val="0"/>
          <w:sz w:val="72"/>
          <w:szCs w:val="72"/>
        </w:rPr>
      </w:pPr>
    </w:p>
    <w:p>
      <w:pPr>
        <w:pStyle w:val="12"/>
        <w:widowControl/>
        <w:jc w:val="center"/>
        <w:rPr>
          <w:rFonts w:ascii="宋体" w:hAnsi="宋体" w:cs="宋体"/>
          <w:b/>
          <w:bCs w:val="0"/>
          <w:sz w:val="72"/>
          <w:szCs w:val="72"/>
        </w:rPr>
      </w:pPr>
    </w:p>
    <w:p>
      <w:pPr>
        <w:widowControl/>
        <w:jc w:val="center"/>
        <w:rPr>
          <w:rFonts w:ascii="宋体" w:hAnsi="宋体" w:cs="宋体" w:eastAsiaTheme="minorEastAsia"/>
          <w:b/>
          <w:sz w:val="44"/>
          <w:szCs w:val="44"/>
          <w:lang w:bidi="ar"/>
        </w:rPr>
      </w:pPr>
    </w:p>
    <w:p>
      <w:pPr>
        <w:widowControl/>
        <w:jc w:val="center"/>
        <w:rPr>
          <w:rFonts w:ascii="宋体" w:hAnsi="宋体" w:cs="宋体" w:eastAsiaTheme="minorEastAsia"/>
          <w:b/>
          <w:sz w:val="44"/>
          <w:szCs w:val="44"/>
          <w:lang w:bidi="ar"/>
        </w:rPr>
      </w:pPr>
      <w:r>
        <w:rPr>
          <w:rFonts w:hint="eastAsia" w:ascii="宋体" w:hAnsi="宋体" w:cs="宋体" w:eastAsiaTheme="minorEastAsia"/>
          <w:b/>
          <w:sz w:val="44"/>
          <w:szCs w:val="44"/>
          <w:lang w:bidi="ar"/>
        </w:rPr>
        <w:t>采购人：</w:t>
      </w:r>
    </w:p>
    <w:p>
      <w:pPr>
        <w:widowControl/>
        <w:jc w:val="center"/>
        <w:rPr>
          <w:rFonts w:ascii="宋体" w:hAnsi="宋体" w:cs="宋体"/>
          <w:b/>
          <w:sz w:val="44"/>
          <w:szCs w:val="44"/>
          <w:lang w:bidi="ar"/>
        </w:rPr>
      </w:pPr>
      <w:r>
        <w:rPr>
          <w:rFonts w:hint="eastAsia" w:ascii="宋体" w:hAnsi="宋体" w:cs="宋体" w:eastAsiaTheme="minorEastAsia"/>
          <w:b/>
          <w:sz w:val="44"/>
          <w:szCs w:val="44"/>
          <w:lang w:bidi="ar"/>
        </w:rPr>
        <w:t>（</w:t>
      </w:r>
      <w:r>
        <w:rPr>
          <w:rFonts w:hint="eastAsia" w:ascii="宋体" w:hAnsi="宋体" w:cs="宋体"/>
          <w:b/>
          <w:sz w:val="44"/>
          <w:szCs w:val="44"/>
          <w:lang w:bidi="ar"/>
        </w:rPr>
        <w:t>广州市海珠区江海街红卫经济联合社、</w:t>
      </w:r>
    </w:p>
    <w:p>
      <w:pPr>
        <w:widowControl/>
        <w:jc w:val="center"/>
        <w:rPr>
          <w:rFonts w:ascii="宋体" w:hAnsi="宋体" w:cs="宋体"/>
          <w:b/>
          <w:sz w:val="44"/>
          <w:szCs w:val="44"/>
          <w:lang w:bidi="ar"/>
        </w:rPr>
      </w:pPr>
      <w:r>
        <w:rPr>
          <w:rFonts w:hint="eastAsia" w:ascii="宋体" w:hAnsi="宋体" w:cs="宋体"/>
          <w:b/>
          <w:sz w:val="44"/>
          <w:szCs w:val="44"/>
          <w:lang w:bidi="ar"/>
        </w:rPr>
        <w:t>广州市海珠区江海街桂田经济联合社、</w:t>
      </w:r>
    </w:p>
    <w:p>
      <w:pPr>
        <w:widowControl/>
        <w:jc w:val="center"/>
        <w:rPr>
          <w:rFonts w:ascii="宋体" w:hAnsi="宋体" w:cs="宋体"/>
          <w:b/>
          <w:sz w:val="44"/>
          <w:szCs w:val="44"/>
          <w:lang w:bidi="ar"/>
        </w:rPr>
      </w:pPr>
      <w:r>
        <w:rPr>
          <w:rFonts w:hint="eastAsia" w:ascii="宋体" w:hAnsi="宋体" w:cs="宋体"/>
          <w:b/>
          <w:sz w:val="44"/>
          <w:szCs w:val="44"/>
          <w:highlight w:val="yellow"/>
          <w:lang w:bidi="ar"/>
        </w:rPr>
        <w:t>广州市海珠区凤和经济联合社</w:t>
      </w:r>
      <w:r>
        <w:rPr>
          <w:rFonts w:hint="eastAsia" w:ascii="宋体" w:hAnsi="宋体" w:cs="宋体"/>
          <w:b/>
          <w:sz w:val="44"/>
          <w:szCs w:val="44"/>
          <w:lang w:bidi="ar"/>
        </w:rPr>
        <w:t>）</w:t>
      </w:r>
    </w:p>
    <w:p>
      <w:pPr>
        <w:rPr>
          <w:rFonts w:ascii="宋体" w:hAnsi="宋体" w:cs="宋体"/>
          <w:b/>
          <w:sz w:val="44"/>
          <w:szCs w:val="44"/>
          <w:lang w:bidi="ar"/>
        </w:rPr>
      </w:pPr>
      <w:r>
        <w:rPr>
          <w:rFonts w:hint="eastAsia" w:ascii="宋体" w:hAnsi="宋体" w:cs="宋体"/>
          <w:b/>
          <w:sz w:val="44"/>
          <w:szCs w:val="44"/>
          <w:lang w:bidi="ar"/>
        </w:rPr>
        <w:br w:type="page"/>
      </w:r>
    </w:p>
    <w:p>
      <w:pPr>
        <w:numPr>
          <w:ilvl w:val="0"/>
          <w:numId w:val="1"/>
        </w:numPr>
        <w:spacing w:line="360" w:lineRule="auto"/>
        <w:ind w:firstLine="0"/>
        <w:outlineLvl w:val="0"/>
        <w:rPr>
          <w:b/>
          <w:sz w:val="28"/>
        </w:rPr>
      </w:pPr>
      <w:r>
        <w:rPr>
          <w:rFonts w:hint="eastAsia"/>
          <w:b/>
          <w:sz w:val="28"/>
        </w:rPr>
        <w:t>采购需求</w:t>
      </w:r>
    </w:p>
    <w:p>
      <w:pPr>
        <w:widowControl/>
        <w:spacing w:line="360" w:lineRule="auto"/>
        <w:outlineLvl w:val="2"/>
        <w:rPr>
          <w:rFonts w:ascii="宋体" w:hAnsi="宋体" w:cs="宋体"/>
          <w:b/>
          <w:color w:val="000000"/>
          <w:sz w:val="21"/>
          <w:szCs w:val="21"/>
        </w:rPr>
      </w:pPr>
      <w:bookmarkStart w:id="0" w:name="_Toc510441251"/>
      <w:bookmarkStart w:id="1" w:name="_Toc20113"/>
      <w:r>
        <w:rPr>
          <w:rFonts w:hint="eastAsia" w:ascii="宋体" w:hAnsi="宋体" w:cs="宋体"/>
          <w:b/>
          <w:color w:val="000000"/>
          <w:sz w:val="21"/>
          <w:szCs w:val="21"/>
        </w:rPr>
        <w:t>（一）项目一概况</w:t>
      </w:r>
      <w:bookmarkEnd w:id="0"/>
      <w:bookmarkEnd w:id="1"/>
    </w:p>
    <w:p>
      <w:pPr>
        <w:widowControl/>
        <w:snapToGrid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1</w:t>
      </w:r>
      <w:r>
        <w:rPr>
          <w:rFonts w:ascii="宋体" w:hAnsi="宋体" w:cs="宋体"/>
          <w:color w:val="000000"/>
          <w:sz w:val="21"/>
          <w:szCs w:val="21"/>
        </w:rPr>
        <w:t>.</w:t>
      </w:r>
      <w:r>
        <w:rPr>
          <w:rFonts w:hint="eastAsia" w:ascii="宋体" w:hAnsi="宋体" w:cs="宋体"/>
          <w:color w:val="000000"/>
          <w:sz w:val="21"/>
          <w:szCs w:val="21"/>
        </w:rPr>
        <w:t>项目内容：广州市海珠区江海街红卫经济联合社、广州市海珠区江海街桂田经济联合社、广州市海珠区凤和经济联合社火灾隐患重点地区整治工作排查评估服务</w:t>
      </w:r>
    </w:p>
    <w:p>
      <w:pPr>
        <w:widowControl/>
        <w:snapToGrid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2</w:t>
      </w:r>
      <w:r>
        <w:rPr>
          <w:rFonts w:ascii="宋体" w:hAnsi="宋体" w:cs="宋体"/>
          <w:color w:val="000000"/>
          <w:sz w:val="21"/>
          <w:szCs w:val="21"/>
        </w:rPr>
        <w:t>.</w:t>
      </w:r>
      <w:r>
        <w:rPr>
          <w:rFonts w:hint="eastAsia" w:ascii="宋体" w:hAnsi="宋体" w:cs="宋体"/>
          <w:color w:val="000000"/>
          <w:sz w:val="21"/>
          <w:szCs w:val="21"/>
        </w:rPr>
        <w:t>预算金额：人民币</w:t>
      </w:r>
      <w:r>
        <w:rPr>
          <w:rFonts w:ascii="宋体" w:hAnsi="宋体" w:cs="宋体"/>
          <w:color w:val="000000"/>
          <w:sz w:val="21"/>
          <w:szCs w:val="21"/>
        </w:rPr>
        <w:t>380</w:t>
      </w:r>
      <w:r>
        <w:rPr>
          <w:rFonts w:hint="eastAsia" w:ascii="宋体" w:hAnsi="宋体" w:cs="宋体"/>
          <w:color w:val="000000"/>
          <w:sz w:val="21"/>
          <w:szCs w:val="21"/>
        </w:rPr>
        <w:t>万元。</w:t>
      </w:r>
    </w:p>
    <w:p>
      <w:pPr>
        <w:widowControl/>
        <w:snapToGrid w:val="0"/>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3</w:t>
      </w:r>
      <w:r>
        <w:rPr>
          <w:rFonts w:ascii="宋体" w:hAnsi="宋体" w:cs="宋体"/>
          <w:color w:val="000000"/>
          <w:sz w:val="21"/>
          <w:szCs w:val="21"/>
        </w:rPr>
        <w:t>.</w:t>
      </w:r>
      <w:r>
        <w:rPr>
          <w:rFonts w:hint="eastAsia" w:ascii="宋体" w:hAnsi="宋体" w:cs="宋体"/>
          <w:color w:val="000000"/>
          <w:sz w:val="21"/>
          <w:szCs w:val="21"/>
        </w:rPr>
        <w:t>项目工期：</w:t>
      </w:r>
      <w:r>
        <w:rPr>
          <w:rFonts w:hint="eastAsia"/>
          <w:sz w:val="21"/>
          <w:szCs w:val="21"/>
        </w:rPr>
        <w:t>自合同签订之日起至项目通过验收完成摘牌止</w:t>
      </w:r>
      <w:r>
        <w:rPr>
          <w:rFonts w:hint="eastAsia" w:ascii="宋体" w:hAnsi="宋体" w:cs="宋体"/>
          <w:color w:val="000000"/>
          <w:sz w:val="21"/>
          <w:szCs w:val="21"/>
        </w:rPr>
        <w:t>。</w:t>
      </w:r>
    </w:p>
    <w:p>
      <w:pPr>
        <w:widowControl/>
        <w:spacing w:line="360" w:lineRule="auto"/>
        <w:outlineLvl w:val="2"/>
        <w:rPr>
          <w:rFonts w:ascii="宋体" w:hAnsi="宋体" w:cs="宋体"/>
          <w:b/>
          <w:color w:val="000000"/>
          <w:sz w:val="21"/>
          <w:szCs w:val="21"/>
        </w:rPr>
      </w:pPr>
      <w:r>
        <w:rPr>
          <w:rFonts w:hint="eastAsia" w:ascii="宋体" w:hAnsi="宋体" w:cs="宋体"/>
          <w:b/>
          <w:color w:val="000000"/>
          <w:sz w:val="21"/>
          <w:szCs w:val="21"/>
        </w:rPr>
        <w:t>（二）工作内容</w:t>
      </w:r>
    </w:p>
    <w:p>
      <w:pPr>
        <w:numPr>
          <w:ilvl w:val="0"/>
          <w:numId w:val="2"/>
        </w:numPr>
        <w:spacing w:line="360" w:lineRule="auto"/>
        <w:jc w:val="left"/>
        <w:rPr>
          <w:rFonts w:ascii="宋体" w:hAnsi="宋体" w:cs="宋体"/>
          <w:sz w:val="21"/>
          <w:szCs w:val="21"/>
        </w:rPr>
      </w:pPr>
      <w:r>
        <w:rPr>
          <w:rFonts w:hint="eastAsia" w:ascii="宋体" w:hAnsi="宋体" w:cs="宋体"/>
          <w:kern w:val="0"/>
          <w:sz w:val="21"/>
          <w:szCs w:val="21"/>
        </w:rPr>
        <w:t>为全面排查治理</w:t>
      </w:r>
      <w:r>
        <w:rPr>
          <w:rFonts w:hint="eastAsia" w:ascii="宋体" w:hAnsi="宋体" w:cs="宋体"/>
          <w:color w:val="000000"/>
          <w:sz w:val="21"/>
          <w:szCs w:val="21"/>
        </w:rPr>
        <w:t>广州市海珠区江海街红卫经济联合社、广州市海珠区江海街桂田经济联合社、广州市海珠区凤和经济联合社（江贝一、二社）</w:t>
      </w:r>
      <w:r>
        <w:rPr>
          <w:rFonts w:hint="eastAsia" w:ascii="宋体" w:hAnsi="宋体" w:cs="宋体"/>
          <w:kern w:val="0"/>
          <w:sz w:val="21"/>
          <w:szCs w:val="21"/>
        </w:rPr>
        <w:t>火灾隐患，有效控制火灾事故的发生，上述三方（</w:t>
      </w:r>
      <w:r>
        <w:rPr>
          <w:rFonts w:hint="eastAsia" w:ascii="宋体" w:hAnsi="宋体"/>
          <w:sz w:val="21"/>
          <w:szCs w:val="21"/>
        </w:rPr>
        <w:t>采购人）将委托符合项目要求的第三方消防技术服务机构对</w:t>
      </w:r>
      <w:r>
        <w:rPr>
          <w:rFonts w:hint="eastAsia" w:ascii="宋体" w:hAnsi="宋体" w:cs="宋体"/>
          <w:kern w:val="0"/>
          <w:sz w:val="21"/>
          <w:szCs w:val="21"/>
        </w:rPr>
        <w:t>海珠区江海街红卫村</w:t>
      </w:r>
      <w:r>
        <w:rPr>
          <w:rFonts w:hint="eastAsia" w:ascii="宋体" w:hAnsi="宋体"/>
          <w:sz w:val="21"/>
          <w:szCs w:val="21"/>
        </w:rPr>
        <w:t>辖区范围内</w:t>
      </w:r>
      <w:r>
        <w:rPr>
          <w:rFonts w:ascii="宋体" w:hAnsi="宋体"/>
          <w:color w:val="000000"/>
          <w:sz w:val="21"/>
          <w:szCs w:val="21"/>
        </w:rPr>
        <w:t>2153</w:t>
      </w:r>
      <w:r>
        <w:rPr>
          <w:rFonts w:hint="eastAsia" w:ascii="宋体" w:hAnsi="宋体"/>
          <w:sz w:val="21"/>
          <w:szCs w:val="21"/>
        </w:rPr>
        <w:t>家“三小”场所、</w:t>
      </w:r>
      <w:r>
        <w:rPr>
          <w:rFonts w:ascii="宋体" w:hAnsi="宋体"/>
          <w:color w:val="000000"/>
          <w:sz w:val="21"/>
          <w:szCs w:val="21"/>
        </w:rPr>
        <w:t>4317</w:t>
      </w:r>
      <w:r>
        <w:rPr>
          <w:rFonts w:hint="eastAsia" w:ascii="宋体" w:hAnsi="宋体"/>
          <w:sz w:val="21"/>
          <w:szCs w:val="21"/>
        </w:rPr>
        <w:t>栋出租屋、</w:t>
      </w:r>
      <w:r>
        <w:rPr>
          <w:rFonts w:ascii="宋体" w:hAnsi="宋体"/>
          <w:sz w:val="21"/>
          <w:szCs w:val="21"/>
        </w:rPr>
        <w:t>139</w:t>
      </w:r>
      <w:r>
        <w:rPr>
          <w:rFonts w:hint="eastAsia" w:ascii="宋体" w:hAnsi="宋体"/>
          <w:sz w:val="21"/>
          <w:szCs w:val="21"/>
        </w:rPr>
        <w:t>家</w:t>
      </w:r>
      <w:r>
        <w:rPr>
          <w:rFonts w:hint="eastAsia" w:ascii="宋体" w:hAnsi="宋体" w:cs="宋体"/>
          <w:sz w:val="21"/>
          <w:szCs w:val="21"/>
        </w:rPr>
        <w:t>公共场所及大型商业体</w:t>
      </w:r>
      <w:r>
        <w:rPr>
          <w:rFonts w:hint="eastAsia" w:ascii="宋体" w:hAnsi="宋体"/>
          <w:sz w:val="21"/>
          <w:szCs w:val="21"/>
        </w:rPr>
        <w:t>、</w:t>
      </w:r>
      <w:r>
        <w:rPr>
          <w:rFonts w:hint="eastAsia" w:ascii="宋体" w:hAnsi="宋体"/>
          <w:color w:val="000000"/>
          <w:sz w:val="21"/>
          <w:szCs w:val="21"/>
        </w:rPr>
        <w:t>201</w:t>
      </w:r>
      <w:r>
        <w:rPr>
          <w:rFonts w:hint="eastAsia" w:ascii="宋体" w:hAnsi="宋体"/>
          <w:sz w:val="21"/>
          <w:szCs w:val="21"/>
        </w:rPr>
        <w:t>家工业建筑等场</w:t>
      </w:r>
      <w:r>
        <w:rPr>
          <w:rFonts w:hint="eastAsia" w:ascii="宋体" w:hAnsi="宋体" w:cs="宋体"/>
          <w:kern w:val="0"/>
          <w:sz w:val="21"/>
          <w:szCs w:val="21"/>
          <w:lang w:bidi="ar"/>
        </w:rPr>
        <w:t>所</w:t>
      </w:r>
      <w:r>
        <w:rPr>
          <w:rFonts w:hint="eastAsia" w:ascii="宋体" w:hAnsi="宋体" w:cs="宋体"/>
          <w:sz w:val="21"/>
          <w:szCs w:val="21"/>
        </w:rPr>
        <w:t>火灾隐患进行排查评估，建立完善</w:t>
      </w:r>
      <w:r>
        <w:rPr>
          <w:rFonts w:hint="eastAsia" w:ascii="宋体" w:hAnsi="宋体" w:cs="宋体"/>
          <w:kern w:val="0"/>
          <w:sz w:val="21"/>
          <w:szCs w:val="21"/>
          <w:lang w:bidi="ar"/>
        </w:rPr>
        <w:t>四类场所全部档案资料台帐（</w:t>
      </w:r>
      <w:r>
        <w:rPr>
          <w:rFonts w:hint="eastAsia" w:ascii="宋体" w:hAnsi="宋体" w:cs="宋体"/>
          <w:sz w:val="21"/>
          <w:szCs w:val="21"/>
        </w:rPr>
        <w:t>包含验收需要全部台账资料和一户一档资料</w:t>
      </w:r>
      <w:r>
        <w:rPr>
          <w:rFonts w:hint="eastAsia" w:ascii="宋体" w:hAnsi="宋体" w:cs="宋体"/>
          <w:kern w:val="0"/>
          <w:sz w:val="21"/>
          <w:szCs w:val="21"/>
          <w:lang w:bidi="ar"/>
        </w:rPr>
        <w:t>）；</w:t>
      </w:r>
      <w:r>
        <w:rPr>
          <w:rFonts w:hint="eastAsia" w:ascii="宋体" w:hAnsi="宋体" w:cs="宋体"/>
          <w:sz w:val="21"/>
          <w:szCs w:val="21"/>
        </w:rPr>
        <w:t>对辖区内</w:t>
      </w:r>
      <w:r>
        <w:rPr>
          <w:rFonts w:ascii="宋体" w:hAnsi="宋体"/>
          <w:color w:val="000000"/>
          <w:sz w:val="21"/>
          <w:szCs w:val="21"/>
        </w:rPr>
        <w:t>114</w:t>
      </w:r>
      <w:r>
        <w:rPr>
          <w:rFonts w:hint="eastAsia" w:ascii="宋体" w:hAnsi="宋体"/>
          <w:color w:val="000000"/>
          <w:sz w:val="21"/>
          <w:szCs w:val="21"/>
        </w:rPr>
        <w:t>家</w:t>
      </w:r>
      <w:r>
        <w:rPr>
          <w:rFonts w:hint="eastAsia" w:ascii="宋体" w:hAnsi="宋体" w:cs="宋体"/>
          <w:kern w:val="0"/>
          <w:sz w:val="21"/>
          <w:szCs w:val="21"/>
          <w:lang w:bidi="ar"/>
        </w:rPr>
        <w:t>市政消防栓建设、</w:t>
      </w:r>
      <w:r>
        <w:rPr>
          <w:rFonts w:ascii="宋体" w:hAnsi="宋体"/>
          <w:color w:val="000000"/>
          <w:sz w:val="21"/>
          <w:szCs w:val="21"/>
        </w:rPr>
        <w:t>10</w:t>
      </w:r>
      <w:r>
        <w:rPr>
          <w:rFonts w:hint="eastAsia" w:ascii="宋体" w:hAnsi="宋体" w:cs="宋体"/>
          <w:kern w:val="0"/>
          <w:sz w:val="21"/>
          <w:szCs w:val="21"/>
          <w:lang w:bidi="ar"/>
        </w:rPr>
        <w:t>家</w:t>
      </w:r>
      <w:r>
        <w:rPr>
          <w:rFonts w:hint="eastAsia" w:ascii="宋体" w:hAnsi="宋体" w:cs="宋体"/>
          <w:sz w:val="21"/>
          <w:szCs w:val="21"/>
        </w:rPr>
        <w:t>专职消防队与微型消防站、</w:t>
      </w:r>
      <w:r>
        <w:rPr>
          <w:rFonts w:ascii="宋体" w:hAnsi="宋体"/>
          <w:color w:val="000000"/>
          <w:sz w:val="21"/>
          <w:szCs w:val="21"/>
        </w:rPr>
        <w:t>21</w:t>
      </w:r>
      <w:r>
        <w:rPr>
          <w:rFonts w:hint="eastAsia" w:ascii="宋体" w:hAnsi="宋体"/>
          <w:color w:val="000000"/>
          <w:sz w:val="21"/>
          <w:szCs w:val="21"/>
        </w:rPr>
        <w:t>家消防网格化管理建设</w:t>
      </w:r>
      <w:r>
        <w:rPr>
          <w:rFonts w:hint="eastAsia" w:ascii="宋体" w:hAnsi="宋体" w:cs="宋体"/>
          <w:sz w:val="21"/>
          <w:szCs w:val="21"/>
        </w:rPr>
        <w:t>等消防安全隐患情况进行全面排查评估，</w:t>
      </w:r>
      <w:r>
        <w:rPr>
          <w:rFonts w:hint="eastAsia" w:ascii="宋体" w:hAnsi="宋体"/>
          <w:sz w:val="21"/>
          <w:szCs w:val="21"/>
        </w:rPr>
        <w:t>确保</w:t>
      </w:r>
      <w:r>
        <w:rPr>
          <w:rFonts w:hint="eastAsia" w:hAnsi="宋体" w:cs="宋体"/>
          <w:sz w:val="21"/>
          <w:szCs w:val="21"/>
        </w:rPr>
        <w:t>整治工作达到消防安全验收标准要求</w:t>
      </w:r>
      <w:r>
        <w:rPr>
          <w:rFonts w:hint="eastAsia" w:ascii="宋体" w:hAnsi="宋体" w:cs="宋体"/>
          <w:sz w:val="21"/>
          <w:szCs w:val="21"/>
        </w:rPr>
        <w:t>；按要求</w:t>
      </w:r>
      <w:r>
        <w:rPr>
          <w:rFonts w:hint="eastAsia" w:ascii="宋体" w:hAnsi="宋体" w:cs="宋体"/>
          <w:color w:val="000000"/>
          <w:kern w:val="0"/>
          <w:sz w:val="21"/>
          <w:szCs w:val="21"/>
          <w:lang w:bidi="ar"/>
        </w:rPr>
        <w:t>提交</w:t>
      </w:r>
      <w:r>
        <w:rPr>
          <w:rFonts w:hint="eastAsia" w:ascii="宋体" w:hAnsi="宋体"/>
          <w:sz w:val="21"/>
          <w:szCs w:val="21"/>
        </w:rPr>
        <w:t>排查评估资料数据及场所档案资料数据，出具合格评估报告上报验收，并提供后续验收摘牌各项技术服务</w:t>
      </w:r>
      <w:r>
        <w:rPr>
          <w:rFonts w:hint="eastAsia" w:hAnsi="宋体" w:cs="宋体"/>
          <w:sz w:val="21"/>
          <w:szCs w:val="21"/>
        </w:rPr>
        <w:t>。</w:t>
      </w:r>
      <w:r>
        <w:rPr>
          <w:rFonts w:hint="eastAsia" w:ascii="宋体" w:hAnsi="宋体" w:cs="宋体"/>
          <w:sz w:val="21"/>
          <w:szCs w:val="21"/>
        </w:rPr>
        <w:t>具体排查评估场所及服务内容如下表：</w:t>
      </w:r>
    </w:p>
    <w:tbl>
      <w:tblPr>
        <w:tblStyle w:val="8"/>
        <w:tblW w:w="4890" w:type="pct"/>
        <w:tblInd w:w="0" w:type="dxa"/>
        <w:tblLayout w:type="fixed"/>
        <w:tblCellMar>
          <w:top w:w="0" w:type="dxa"/>
          <w:left w:w="108" w:type="dxa"/>
          <w:bottom w:w="0" w:type="dxa"/>
          <w:right w:w="108" w:type="dxa"/>
        </w:tblCellMar>
      </w:tblPr>
      <w:tblGrid>
        <w:gridCol w:w="823"/>
        <w:gridCol w:w="5184"/>
        <w:gridCol w:w="1246"/>
        <w:gridCol w:w="1245"/>
        <w:gridCol w:w="1245"/>
      </w:tblGrid>
      <w:tr>
        <w:tblPrEx>
          <w:tblCellMar>
            <w:top w:w="0" w:type="dxa"/>
            <w:left w:w="108" w:type="dxa"/>
            <w:bottom w:w="0" w:type="dxa"/>
            <w:right w:w="108" w:type="dxa"/>
          </w:tblCellMar>
        </w:tblPrEx>
        <w:trPr>
          <w:trHeight w:val="535" w:hRule="atLeast"/>
        </w:trPr>
        <w:tc>
          <w:tcPr>
            <w:tcW w:w="4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65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项</w:t>
            </w:r>
            <w:r>
              <w:rPr>
                <w:rFonts w:ascii="宋体" w:hAnsi="宋体" w:cs="宋体"/>
                <w:b/>
                <w:bCs/>
                <w:color w:val="000000"/>
                <w:kern w:val="0"/>
                <w:sz w:val="21"/>
                <w:szCs w:val="21"/>
              </w:rPr>
              <w:t xml:space="preserve">  目 名 称</w:t>
            </w:r>
          </w:p>
        </w:tc>
        <w:tc>
          <w:tcPr>
            <w:tcW w:w="63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63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63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60" w:lineRule="auto"/>
              <w:jc w:val="center"/>
              <w:rPr>
                <w:rFonts w:ascii="宋体" w:hAnsi="宋体" w:cs="宋体" w:eastAsiaTheme="minorEastAsia"/>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1"/>
                <w:szCs w:val="21"/>
              </w:rPr>
            </w:pPr>
            <w:r>
              <w:rPr>
                <w:rFonts w:hint="eastAsia" w:ascii="宋体" w:hAnsi="宋体"/>
                <w:color w:val="000000"/>
                <w:sz w:val="21"/>
                <w:szCs w:val="21"/>
              </w:rPr>
              <w:t>1</w:t>
            </w:r>
          </w:p>
        </w:tc>
        <w:tc>
          <w:tcPr>
            <w:tcW w:w="265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sz w:val="21"/>
                <w:szCs w:val="21"/>
              </w:rPr>
              <w:t>三小场所消防安全隐患排查包含（检查内容：初验、复验、自查自验）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rPr>
              <w:t>2153</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2</w:t>
            </w:r>
          </w:p>
        </w:tc>
        <w:tc>
          <w:tcPr>
            <w:tcW w:w="265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sz w:val="21"/>
                <w:szCs w:val="21"/>
              </w:rPr>
              <w:t>出租屋消防安全隐患排查包含（检查内容：初验、复验、自查自验）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栋</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rPr>
              <w:t>4317</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3</w:t>
            </w:r>
          </w:p>
        </w:tc>
        <w:tc>
          <w:tcPr>
            <w:tcW w:w="265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sz w:val="21"/>
                <w:szCs w:val="21"/>
              </w:rPr>
              <w:t>公共场所及大型商业体消防安全隐患排查包含（检查内容：初验、复验、自查自验）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rPr>
              <w:t>139</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4</w:t>
            </w:r>
          </w:p>
        </w:tc>
        <w:tc>
          <w:tcPr>
            <w:tcW w:w="265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21"/>
                <w:szCs w:val="21"/>
              </w:rPr>
            </w:pPr>
            <w:r>
              <w:rPr>
                <w:rFonts w:hint="eastAsia" w:ascii="宋体" w:hAnsi="宋体" w:cs="宋体"/>
                <w:sz w:val="21"/>
                <w:szCs w:val="21"/>
              </w:rPr>
              <w:t>工业建筑消防安全隐患排查包含（检查内容：初验、复验、自查自验）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rPr>
              <w:t>205</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5</w:t>
            </w:r>
          </w:p>
        </w:tc>
        <w:tc>
          <w:tcPr>
            <w:tcW w:w="26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21"/>
                <w:szCs w:val="21"/>
              </w:rPr>
            </w:pPr>
            <w:r>
              <w:rPr>
                <w:rFonts w:hint="eastAsia" w:ascii="宋体" w:hAnsi="宋体"/>
                <w:color w:val="000000"/>
                <w:sz w:val="21"/>
                <w:szCs w:val="21"/>
              </w:rPr>
              <w:t>市政消火栓建设</w:t>
            </w:r>
            <w:r>
              <w:rPr>
                <w:rFonts w:hint="eastAsia" w:ascii="宋体" w:hAnsi="宋体" w:cs="宋体"/>
                <w:sz w:val="21"/>
                <w:szCs w:val="21"/>
              </w:rPr>
              <w:t>（检查内容：初验、复验、自查自验）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rPr>
              <w:t>114</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50" w:hRule="exac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6</w:t>
            </w:r>
          </w:p>
        </w:tc>
        <w:tc>
          <w:tcPr>
            <w:tcW w:w="265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sz w:val="21"/>
                <w:szCs w:val="21"/>
              </w:rPr>
              <w:t>专职消防队与微型消防站（检查内容：初验、复验、自查自验）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10</w:t>
            </w:r>
            <w:bookmarkStart w:id="2" w:name="_GoBack"/>
            <w:bookmarkEnd w:id="2"/>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7</w:t>
            </w:r>
          </w:p>
        </w:tc>
        <w:tc>
          <w:tcPr>
            <w:tcW w:w="265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sz w:val="21"/>
                <w:szCs w:val="21"/>
              </w:rPr>
              <w:t>建立完善四类场所全部档案资料台帐（包含验收需要全部台账资料和一户一档资料）</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sz w:val="21"/>
                <w:szCs w:val="21"/>
              </w:rPr>
              <w:t>6814</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864" w:hRule="atLeas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8</w:t>
            </w:r>
          </w:p>
        </w:tc>
        <w:tc>
          <w:tcPr>
            <w:tcW w:w="26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21"/>
                <w:szCs w:val="21"/>
              </w:rPr>
            </w:pPr>
            <w:r>
              <w:rPr>
                <w:rFonts w:hint="eastAsia" w:ascii="宋体" w:hAnsi="宋体"/>
                <w:color w:val="000000"/>
                <w:sz w:val="21"/>
                <w:szCs w:val="21"/>
              </w:rPr>
              <w:t>消防网格化管理建设</w:t>
            </w:r>
            <w:r>
              <w:rPr>
                <w:rFonts w:hint="eastAsia" w:ascii="宋体" w:hAnsi="宋体" w:cs="宋体"/>
                <w:sz w:val="21"/>
                <w:szCs w:val="21"/>
              </w:rPr>
              <w:t>（检查内容：初验、复验、自查自验）</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sz w:val="21"/>
                <w:szCs w:val="21"/>
              </w:rPr>
              <w:t>21</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340" w:hRule="exac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9</w:t>
            </w:r>
          </w:p>
        </w:tc>
        <w:tc>
          <w:tcPr>
            <w:tcW w:w="26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21"/>
                <w:szCs w:val="21"/>
              </w:rPr>
            </w:pPr>
            <w:r>
              <w:rPr>
                <w:rFonts w:hint="eastAsia" w:ascii="宋体" w:hAnsi="宋体" w:cs="宋体"/>
                <w:color w:val="000000"/>
                <w:kern w:val="0"/>
                <w:sz w:val="21"/>
                <w:szCs w:val="21"/>
              </w:rPr>
              <w:t>出具合格评估报告上报验收</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套</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sz w:val="21"/>
                <w:szCs w:val="21"/>
              </w:rPr>
              <w:t>3</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340" w:hRule="exact"/>
        </w:trPr>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10</w:t>
            </w:r>
          </w:p>
        </w:tc>
        <w:tc>
          <w:tcPr>
            <w:tcW w:w="2659" w:type="pc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1"/>
                <w:szCs w:val="21"/>
              </w:rPr>
            </w:pPr>
            <w:r>
              <w:rPr>
                <w:rFonts w:hint="eastAsia" w:ascii="宋体" w:hAnsi="宋体" w:cs="宋体"/>
                <w:color w:val="000000"/>
                <w:kern w:val="0"/>
                <w:sz w:val="21"/>
                <w:szCs w:val="21"/>
              </w:rPr>
              <w:t>后续验收摘牌各项技术服务</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hint="eastAsia" w:ascii="宋体" w:hAnsi="宋体"/>
                <w:color w:val="000000"/>
                <w:sz w:val="21"/>
                <w:szCs w:val="21"/>
              </w:rPr>
              <w:t>套</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r>
              <w:rPr>
                <w:rFonts w:ascii="宋体" w:hAnsi="宋体"/>
                <w:color w:val="000000"/>
                <w:sz w:val="21"/>
                <w:szCs w:val="21"/>
              </w:rPr>
              <w:t>3</w:t>
            </w:r>
          </w:p>
        </w:tc>
        <w:tc>
          <w:tcPr>
            <w:tcW w:w="63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1"/>
                <w:szCs w:val="21"/>
              </w:rPr>
            </w:pPr>
          </w:p>
        </w:tc>
      </w:tr>
    </w:tbl>
    <w:p>
      <w:pPr>
        <w:rPr>
          <w:rFonts w:ascii="宋体" w:hAnsi="宋体" w:cs="宋体"/>
          <w:color w:val="FF0000"/>
        </w:rPr>
      </w:pPr>
    </w:p>
    <w:p>
      <w:pPr>
        <w:numPr>
          <w:ilvl w:val="0"/>
          <w:numId w:val="2"/>
        </w:numPr>
        <w:spacing w:line="360" w:lineRule="auto"/>
        <w:jc w:val="left"/>
        <w:rPr>
          <w:rFonts w:ascii="宋体" w:hAnsi="宋体" w:cs="宋体"/>
          <w:kern w:val="0"/>
          <w:sz w:val="21"/>
          <w:szCs w:val="21"/>
        </w:rPr>
      </w:pPr>
      <w:r>
        <w:rPr>
          <w:rFonts w:hint="eastAsia" w:ascii="宋体" w:hAnsi="宋体" w:cs="宋体"/>
          <w:kern w:val="0"/>
          <w:sz w:val="21"/>
          <w:szCs w:val="21"/>
        </w:rPr>
        <w:t>项目地点：采购人指定地点。</w:t>
      </w:r>
    </w:p>
    <w:p>
      <w:pPr>
        <w:numPr>
          <w:ilvl w:val="0"/>
          <w:numId w:val="2"/>
        </w:numPr>
        <w:spacing w:line="360" w:lineRule="auto"/>
        <w:jc w:val="left"/>
        <w:rPr>
          <w:rFonts w:ascii="宋体" w:hAnsi="宋体" w:cs="宋体"/>
          <w:kern w:val="0"/>
          <w:sz w:val="21"/>
          <w:szCs w:val="21"/>
        </w:rPr>
      </w:pPr>
      <w:r>
        <w:rPr>
          <w:rFonts w:hint="eastAsia" w:ascii="宋体" w:hAnsi="宋体" w:cs="宋体"/>
          <w:kern w:val="0"/>
          <w:sz w:val="21"/>
          <w:szCs w:val="21"/>
        </w:rPr>
        <w:t>服务质量：验收合格标准。</w:t>
      </w:r>
    </w:p>
    <w:p>
      <w:pPr>
        <w:widowControl/>
        <w:spacing w:line="360" w:lineRule="auto"/>
        <w:ind w:left="425"/>
        <w:outlineLvl w:val="2"/>
        <w:rPr>
          <w:rFonts w:ascii="宋体" w:hAnsi="宋体" w:cs="宋体"/>
          <w:b/>
          <w:color w:val="000000"/>
          <w:sz w:val="21"/>
          <w:szCs w:val="21"/>
        </w:rPr>
      </w:pPr>
      <w:r>
        <w:rPr>
          <w:rFonts w:hint="eastAsia" w:ascii="宋体" w:hAnsi="宋体" w:cs="宋体"/>
          <w:b/>
          <w:color w:val="000000"/>
          <w:sz w:val="21"/>
          <w:szCs w:val="21"/>
        </w:rPr>
        <w:t>（三）服务要求</w:t>
      </w:r>
    </w:p>
    <w:p>
      <w:pPr>
        <w:numPr>
          <w:ilvl w:val="0"/>
          <w:numId w:val="3"/>
        </w:numPr>
        <w:spacing w:line="360" w:lineRule="auto"/>
        <w:rPr>
          <w:sz w:val="21"/>
          <w:szCs w:val="21"/>
        </w:rPr>
      </w:pPr>
      <w:r>
        <w:rPr>
          <w:rFonts w:hint="eastAsia"/>
          <w:sz w:val="21"/>
          <w:szCs w:val="21"/>
        </w:rPr>
        <w:t>隐患整治验收标准的学习培训</w:t>
      </w:r>
    </w:p>
    <w:p>
      <w:pPr>
        <w:spacing w:line="360" w:lineRule="auto"/>
        <w:ind w:firstLine="420" w:firstLineChars="200"/>
        <w:rPr>
          <w:sz w:val="21"/>
          <w:szCs w:val="21"/>
        </w:rPr>
      </w:pPr>
      <w:r>
        <w:rPr>
          <w:rFonts w:hint="eastAsia"/>
          <w:sz w:val="21"/>
          <w:szCs w:val="21"/>
        </w:rPr>
        <w:t>针对参与整治工作的领导小组负责实施的成员、各督导小组成员、各社区和工业区负责落实火灾隐患整治的工作人员及网格员等进行统一培训，培训内容为</w:t>
      </w:r>
      <w:r>
        <w:rPr>
          <w:rFonts w:hint="eastAsia" w:ascii="宋体" w:hAnsi="宋体" w:cs="宋体"/>
          <w:sz w:val="21"/>
          <w:szCs w:val="21"/>
          <w:lang w:bidi="zh-CN"/>
        </w:rPr>
        <w:t>《全省火灾隐患重点地区整治工作验收标准》（粤消安办〔2023〕32号）</w:t>
      </w:r>
      <w:r>
        <w:rPr>
          <w:rFonts w:hint="eastAsia"/>
          <w:sz w:val="21"/>
          <w:szCs w:val="21"/>
        </w:rPr>
        <w:t>，对标准进行逐条讲解，使参与隐患整治的工作人员掌握整治标准的技术要求。</w:t>
      </w:r>
    </w:p>
    <w:p>
      <w:pPr>
        <w:numPr>
          <w:ilvl w:val="0"/>
          <w:numId w:val="3"/>
        </w:numPr>
        <w:spacing w:line="360" w:lineRule="auto"/>
        <w:rPr>
          <w:sz w:val="21"/>
          <w:szCs w:val="21"/>
        </w:rPr>
      </w:pPr>
      <w:r>
        <w:rPr>
          <w:rFonts w:hint="eastAsia"/>
          <w:sz w:val="21"/>
          <w:szCs w:val="21"/>
        </w:rPr>
        <w:t>各类场所的火灾隐患排查</w:t>
      </w:r>
    </w:p>
    <w:p>
      <w:pPr>
        <w:spacing w:line="360" w:lineRule="auto"/>
        <w:ind w:firstLine="420" w:firstLineChars="200"/>
        <w:rPr>
          <w:sz w:val="21"/>
          <w:szCs w:val="21"/>
        </w:rPr>
      </w:pPr>
      <w:r>
        <w:rPr>
          <w:rFonts w:hint="eastAsia"/>
          <w:sz w:val="21"/>
          <w:szCs w:val="21"/>
        </w:rPr>
        <w:t>分别对项目范围内三小场所、出租屋、公共场所及大型商业综合体、工业建筑、</w:t>
      </w:r>
      <w:r>
        <w:rPr>
          <w:rFonts w:hint="eastAsia" w:ascii="宋体" w:hAnsi="宋体"/>
          <w:color w:val="000000"/>
          <w:sz w:val="21"/>
          <w:szCs w:val="21"/>
        </w:rPr>
        <w:t>市政消火栓建设、</w:t>
      </w:r>
      <w:r>
        <w:rPr>
          <w:rFonts w:hint="eastAsia" w:ascii="宋体" w:hAnsi="宋体" w:cs="宋体"/>
          <w:sz w:val="21"/>
          <w:szCs w:val="21"/>
        </w:rPr>
        <w:t>专职消防队与微型消防站、</w:t>
      </w:r>
      <w:r>
        <w:rPr>
          <w:rFonts w:hint="eastAsia" w:ascii="宋体" w:hAnsi="宋体" w:cs="宋体"/>
          <w:color w:val="000000"/>
          <w:kern w:val="0"/>
          <w:sz w:val="21"/>
          <w:szCs w:val="21"/>
          <w:lang w:bidi="ar"/>
        </w:rPr>
        <w:t>消防网格化管理建设</w:t>
      </w:r>
      <w:r>
        <w:rPr>
          <w:rFonts w:hint="eastAsia"/>
          <w:sz w:val="21"/>
          <w:szCs w:val="21"/>
        </w:rPr>
        <w:t>等按照</w:t>
      </w:r>
      <w:r>
        <w:rPr>
          <w:rFonts w:hint="eastAsia" w:ascii="宋体" w:hAnsi="宋体" w:cs="宋体"/>
          <w:sz w:val="21"/>
          <w:szCs w:val="21"/>
          <w:lang w:bidi="zh-CN"/>
        </w:rPr>
        <w:t>《全省火灾隐患重点地区整治工作验收标准》（粤消安办〔2023〕32号）</w:t>
      </w:r>
      <w:r>
        <w:rPr>
          <w:rFonts w:hint="eastAsia"/>
          <w:sz w:val="21"/>
          <w:szCs w:val="21"/>
        </w:rPr>
        <w:t>要求进行排查评估。</w:t>
      </w:r>
    </w:p>
    <w:p>
      <w:pPr>
        <w:spacing w:line="360" w:lineRule="auto"/>
        <w:ind w:firstLine="420" w:firstLineChars="200"/>
        <w:rPr>
          <w:sz w:val="21"/>
          <w:szCs w:val="21"/>
        </w:rPr>
      </w:pPr>
      <w:r>
        <w:rPr>
          <w:rFonts w:hint="eastAsia"/>
          <w:sz w:val="21"/>
          <w:szCs w:val="21"/>
        </w:rPr>
        <w:t>排查要求：</w:t>
      </w:r>
    </w:p>
    <w:p>
      <w:pPr>
        <w:numPr>
          <w:ilvl w:val="0"/>
          <w:numId w:val="4"/>
        </w:numPr>
        <w:spacing w:line="360" w:lineRule="auto"/>
        <w:rPr>
          <w:sz w:val="21"/>
          <w:szCs w:val="21"/>
        </w:rPr>
      </w:pPr>
      <w:r>
        <w:rPr>
          <w:rFonts w:hint="eastAsia"/>
          <w:sz w:val="21"/>
          <w:szCs w:val="21"/>
        </w:rPr>
        <w:t>逐户上门，上门排查人员每组不得少于两人同行；</w:t>
      </w:r>
    </w:p>
    <w:p>
      <w:pPr>
        <w:numPr>
          <w:ilvl w:val="0"/>
          <w:numId w:val="4"/>
        </w:numPr>
        <w:spacing w:line="360" w:lineRule="auto"/>
        <w:rPr>
          <w:sz w:val="21"/>
          <w:szCs w:val="21"/>
        </w:rPr>
      </w:pPr>
      <w:r>
        <w:rPr>
          <w:rFonts w:hint="eastAsia"/>
          <w:sz w:val="21"/>
          <w:szCs w:val="21"/>
        </w:rPr>
        <w:t>对发现的火灾隐患进行现场记录和评估打分，为每个场所出具现场检查整治意见书，意见书必须注明该场所存在的问题，并针对每项问题给出相应的整改措施；</w:t>
      </w:r>
    </w:p>
    <w:p>
      <w:pPr>
        <w:numPr>
          <w:ilvl w:val="0"/>
          <w:numId w:val="4"/>
        </w:numPr>
        <w:spacing w:line="360" w:lineRule="auto"/>
        <w:rPr>
          <w:sz w:val="21"/>
          <w:szCs w:val="21"/>
        </w:rPr>
      </w:pPr>
      <w:r>
        <w:rPr>
          <w:rFonts w:hint="eastAsia"/>
          <w:sz w:val="21"/>
          <w:szCs w:val="21"/>
        </w:rPr>
        <w:t>提供最终数据统计表，统计表应能反映出各类场所的得分情况，提供全部场所的问题清单；</w:t>
      </w:r>
    </w:p>
    <w:p>
      <w:pPr>
        <w:numPr>
          <w:ilvl w:val="0"/>
          <w:numId w:val="4"/>
        </w:numPr>
        <w:spacing w:line="360" w:lineRule="auto"/>
        <w:rPr>
          <w:sz w:val="21"/>
          <w:szCs w:val="21"/>
        </w:rPr>
      </w:pPr>
      <w:r>
        <w:rPr>
          <w:rFonts w:hint="eastAsia"/>
          <w:sz w:val="21"/>
          <w:szCs w:val="21"/>
        </w:rPr>
        <w:t>出具排查结果分析报告；</w:t>
      </w:r>
    </w:p>
    <w:p>
      <w:pPr>
        <w:numPr>
          <w:ilvl w:val="0"/>
          <w:numId w:val="4"/>
        </w:numPr>
        <w:spacing w:line="360" w:lineRule="auto"/>
        <w:rPr>
          <w:sz w:val="21"/>
          <w:szCs w:val="21"/>
        </w:rPr>
      </w:pPr>
      <w:r>
        <w:rPr>
          <w:rFonts w:hint="eastAsia"/>
          <w:sz w:val="21"/>
          <w:szCs w:val="21"/>
        </w:rPr>
        <w:t>指导每个场所建筑完成消防安全管理档案建设，</w:t>
      </w:r>
      <w:r>
        <w:rPr>
          <w:rFonts w:hint="eastAsia" w:ascii="宋体" w:hAnsi="宋体" w:cs="宋体"/>
          <w:color w:val="000000"/>
          <w:kern w:val="0"/>
          <w:sz w:val="21"/>
          <w:szCs w:val="21"/>
        </w:rPr>
        <w:t>建立健全全部档案资料。</w:t>
      </w:r>
    </w:p>
    <w:p>
      <w:pPr>
        <w:numPr>
          <w:ilvl w:val="0"/>
          <w:numId w:val="4"/>
        </w:numPr>
        <w:spacing w:line="360" w:lineRule="auto"/>
        <w:rPr>
          <w:sz w:val="21"/>
          <w:szCs w:val="21"/>
        </w:rPr>
      </w:pPr>
      <w:r>
        <w:rPr>
          <w:rFonts w:hint="eastAsia"/>
          <w:sz w:val="21"/>
          <w:szCs w:val="21"/>
        </w:rPr>
        <w:t>提供其他与隐患整治相关的技术咨询。</w:t>
      </w:r>
    </w:p>
    <w:p>
      <w:pPr>
        <w:spacing w:line="360" w:lineRule="auto"/>
        <w:ind w:firstLine="420" w:firstLineChars="200"/>
        <w:rPr>
          <w:sz w:val="21"/>
          <w:szCs w:val="21"/>
        </w:rPr>
      </w:pPr>
      <w:r>
        <w:rPr>
          <w:rFonts w:hint="eastAsia"/>
          <w:sz w:val="21"/>
          <w:szCs w:val="21"/>
        </w:rPr>
        <w:t>隐患整改由采购方火灾隐患整治办公室负责督促整改，整改后由成交供应商进行场所抽查，以最终满足验收标准的要求。</w:t>
      </w:r>
    </w:p>
    <w:p>
      <w:pPr>
        <w:numPr>
          <w:ilvl w:val="0"/>
          <w:numId w:val="3"/>
        </w:numPr>
        <w:spacing w:line="360" w:lineRule="auto"/>
        <w:rPr>
          <w:sz w:val="21"/>
          <w:szCs w:val="21"/>
        </w:rPr>
      </w:pPr>
      <w:r>
        <w:rPr>
          <w:rFonts w:hint="eastAsia"/>
          <w:sz w:val="21"/>
          <w:szCs w:val="21"/>
        </w:rPr>
        <w:t>整治过程中的技术答疑及后期整治效果评测</w:t>
      </w:r>
    </w:p>
    <w:p>
      <w:pPr>
        <w:spacing w:line="360" w:lineRule="auto"/>
        <w:ind w:firstLine="420" w:firstLineChars="200"/>
        <w:rPr>
          <w:sz w:val="21"/>
          <w:szCs w:val="21"/>
        </w:rPr>
      </w:pPr>
      <w:r>
        <w:rPr>
          <w:rFonts w:hint="eastAsia"/>
          <w:sz w:val="21"/>
          <w:szCs w:val="21"/>
        </w:rPr>
        <w:t>在火灾隐患整治过程中，为整治工作人员提供专业的技术解答服务，整治工作人员在整治过程中遇到的消防技术问题进行集中答疑。验收前，依据验收标准出具自评报告（整治效果评测），确保整治效果达到标准要求。</w:t>
      </w:r>
    </w:p>
    <w:p>
      <w:pPr>
        <w:numPr>
          <w:ilvl w:val="0"/>
          <w:numId w:val="3"/>
        </w:numPr>
        <w:spacing w:line="360" w:lineRule="auto"/>
        <w:rPr>
          <w:sz w:val="21"/>
          <w:szCs w:val="21"/>
        </w:rPr>
      </w:pPr>
      <w:r>
        <w:rPr>
          <w:rFonts w:hint="eastAsia"/>
          <w:sz w:val="21"/>
          <w:szCs w:val="21"/>
        </w:rPr>
        <w:t>随时接受采购人的监督，不得在抽查检查过程向服务企业提出其他与抽查检查工作无关的要求和接受企业的财物或其他好处。</w:t>
      </w:r>
    </w:p>
    <w:p>
      <w:pPr>
        <w:numPr>
          <w:ilvl w:val="0"/>
          <w:numId w:val="3"/>
        </w:numPr>
        <w:spacing w:line="360" w:lineRule="auto"/>
        <w:rPr>
          <w:sz w:val="21"/>
          <w:szCs w:val="21"/>
        </w:rPr>
      </w:pPr>
      <w:r>
        <w:rPr>
          <w:rFonts w:hint="eastAsia"/>
          <w:sz w:val="21"/>
          <w:szCs w:val="21"/>
        </w:rPr>
        <w:t>成交供应商在服务期内如有以下问题之一的，一经查实，采购人有权取消成交供应商的服务资格并追究成交供应商相关法律责任：</w:t>
      </w:r>
    </w:p>
    <w:p>
      <w:pPr>
        <w:numPr>
          <w:ilvl w:val="0"/>
          <w:numId w:val="5"/>
        </w:numPr>
        <w:spacing w:line="360" w:lineRule="auto"/>
        <w:rPr>
          <w:sz w:val="21"/>
          <w:szCs w:val="21"/>
        </w:rPr>
      </w:pPr>
      <w:r>
        <w:rPr>
          <w:rFonts w:hint="eastAsia"/>
          <w:sz w:val="21"/>
          <w:szCs w:val="21"/>
        </w:rPr>
        <w:t>成交供应商提供虚假信息，误导或欺骗委托方，以谋取非法利益。</w:t>
      </w:r>
    </w:p>
    <w:p>
      <w:pPr>
        <w:numPr>
          <w:ilvl w:val="0"/>
          <w:numId w:val="5"/>
        </w:numPr>
        <w:spacing w:line="360" w:lineRule="auto"/>
        <w:rPr>
          <w:sz w:val="21"/>
          <w:szCs w:val="21"/>
        </w:rPr>
      </w:pPr>
      <w:r>
        <w:rPr>
          <w:rFonts w:hint="eastAsia"/>
          <w:sz w:val="21"/>
          <w:szCs w:val="21"/>
        </w:rPr>
        <w:t>成交供应商违反了诚实信用和投标承诺，没有严格执行相关要求、规范，损害采购人的利益。</w:t>
      </w:r>
    </w:p>
    <w:p>
      <w:pPr>
        <w:numPr>
          <w:ilvl w:val="0"/>
          <w:numId w:val="5"/>
        </w:numPr>
        <w:spacing w:line="360" w:lineRule="auto"/>
        <w:rPr>
          <w:sz w:val="21"/>
          <w:szCs w:val="21"/>
        </w:rPr>
      </w:pPr>
      <w:r>
        <w:rPr>
          <w:rFonts w:hint="eastAsia"/>
          <w:sz w:val="21"/>
          <w:szCs w:val="21"/>
        </w:rPr>
        <w:t>拒绝接受采购人和相关部门监督和检查的。</w:t>
      </w:r>
    </w:p>
    <w:p>
      <w:pPr>
        <w:numPr>
          <w:ilvl w:val="0"/>
          <w:numId w:val="5"/>
        </w:numPr>
        <w:spacing w:line="360" w:lineRule="auto"/>
        <w:rPr>
          <w:sz w:val="21"/>
          <w:szCs w:val="21"/>
        </w:rPr>
      </w:pPr>
      <w:r>
        <w:rPr>
          <w:rFonts w:hint="eastAsia"/>
          <w:sz w:val="21"/>
          <w:szCs w:val="21"/>
        </w:rPr>
        <w:t>成交供应商出现信用危机、财务危机、经营危机甚至破产、倒闭，无法继续履行合同。</w:t>
      </w:r>
    </w:p>
    <w:p>
      <w:pPr>
        <w:numPr>
          <w:ilvl w:val="0"/>
          <w:numId w:val="5"/>
        </w:numPr>
        <w:spacing w:line="360" w:lineRule="auto"/>
        <w:rPr>
          <w:sz w:val="21"/>
          <w:szCs w:val="21"/>
        </w:rPr>
      </w:pPr>
      <w:r>
        <w:rPr>
          <w:rFonts w:hint="eastAsia"/>
          <w:sz w:val="21"/>
          <w:szCs w:val="21"/>
        </w:rPr>
        <w:t>成交供应商拒绝接受委托任务。</w:t>
      </w:r>
    </w:p>
    <w:p>
      <w:pPr>
        <w:numPr>
          <w:ilvl w:val="0"/>
          <w:numId w:val="5"/>
        </w:numPr>
        <w:spacing w:line="360" w:lineRule="auto"/>
        <w:rPr>
          <w:sz w:val="21"/>
          <w:szCs w:val="21"/>
        </w:rPr>
      </w:pPr>
      <w:r>
        <w:rPr>
          <w:rFonts w:hint="eastAsia"/>
          <w:sz w:val="21"/>
          <w:szCs w:val="21"/>
        </w:rPr>
        <w:t>成交供应商未能按委托项目的工作计划按时完成任务, 严重延误累计3次。</w:t>
      </w:r>
    </w:p>
    <w:p>
      <w:pPr>
        <w:numPr>
          <w:ilvl w:val="0"/>
          <w:numId w:val="5"/>
        </w:numPr>
        <w:spacing w:line="360" w:lineRule="auto"/>
        <w:rPr>
          <w:sz w:val="21"/>
          <w:szCs w:val="21"/>
        </w:rPr>
      </w:pPr>
      <w:r>
        <w:rPr>
          <w:rFonts w:hint="eastAsia"/>
          <w:sz w:val="21"/>
          <w:szCs w:val="21"/>
        </w:rPr>
        <w:t>成交供应商在抽查检查工作过程中非法获取与项目有关的任何非法利益。</w:t>
      </w:r>
    </w:p>
    <w:p>
      <w:pPr>
        <w:widowControl/>
        <w:spacing w:line="360" w:lineRule="auto"/>
        <w:ind w:left="425"/>
        <w:outlineLvl w:val="2"/>
        <w:rPr>
          <w:rFonts w:ascii="宋体" w:hAnsi="宋体" w:cs="宋体"/>
          <w:b/>
          <w:color w:val="000000"/>
          <w:sz w:val="21"/>
          <w:szCs w:val="21"/>
        </w:rPr>
      </w:pPr>
      <w:r>
        <w:rPr>
          <w:rFonts w:hint="eastAsia" w:ascii="宋体" w:hAnsi="宋体" w:cs="宋体"/>
          <w:b/>
          <w:color w:val="000000"/>
          <w:sz w:val="21"/>
          <w:szCs w:val="21"/>
        </w:rPr>
        <w:t>（四）投入本项目设备要求</w:t>
      </w:r>
    </w:p>
    <w:p>
      <w:pPr>
        <w:spacing w:after="120" w:line="360" w:lineRule="auto"/>
        <w:jc w:val="center"/>
        <w:rPr>
          <w:rFonts w:eastAsiaTheme="minorEastAsia"/>
          <w:sz w:val="21"/>
          <w:szCs w:val="21"/>
        </w:rPr>
      </w:pPr>
      <w:r>
        <w:rPr>
          <w:rFonts w:hint="eastAsia"/>
          <w:sz w:val="21"/>
          <w:szCs w:val="21"/>
        </w:rPr>
        <w:t>本项目评估服务需用到的任何检测仪器和设备均由供应商自行提供，费用都由供应商承担。</w:t>
      </w:r>
    </w:p>
    <w:p>
      <w:pPr>
        <w:widowControl/>
        <w:spacing w:line="360" w:lineRule="auto"/>
        <w:ind w:left="425"/>
        <w:outlineLvl w:val="2"/>
        <w:rPr>
          <w:rFonts w:ascii="宋体" w:hAnsi="宋体" w:cs="宋体"/>
          <w:b/>
          <w:color w:val="000000"/>
          <w:sz w:val="21"/>
          <w:szCs w:val="21"/>
        </w:rPr>
      </w:pPr>
      <w:r>
        <w:rPr>
          <w:rFonts w:hint="eastAsia" w:ascii="宋体" w:hAnsi="宋体" w:cs="宋体"/>
          <w:b/>
          <w:color w:val="000000"/>
          <w:sz w:val="21"/>
          <w:szCs w:val="21"/>
        </w:rPr>
        <w:t>（五）提交成果要求</w:t>
      </w:r>
    </w:p>
    <w:p>
      <w:pPr>
        <w:numPr>
          <w:ilvl w:val="0"/>
          <w:numId w:val="6"/>
        </w:numPr>
        <w:tabs>
          <w:tab w:val="left" w:pos="420"/>
        </w:tabs>
        <w:adjustRightInd w:val="0"/>
        <w:snapToGrid w:val="0"/>
        <w:spacing w:line="360" w:lineRule="auto"/>
        <w:rPr>
          <w:sz w:val="21"/>
          <w:szCs w:val="21"/>
        </w:rPr>
      </w:pPr>
      <w:r>
        <w:rPr>
          <w:rFonts w:hint="eastAsia"/>
          <w:sz w:val="21"/>
          <w:szCs w:val="21"/>
        </w:rPr>
        <w:t>报告成果：提交项目范围内三小场所、出租屋、</w:t>
      </w:r>
      <w:r>
        <w:rPr>
          <w:rFonts w:hint="eastAsia" w:ascii="宋体" w:hAnsi="宋体" w:cs="宋体"/>
          <w:sz w:val="21"/>
          <w:szCs w:val="21"/>
        </w:rPr>
        <w:t>公共场所及大型商业体</w:t>
      </w:r>
      <w:r>
        <w:rPr>
          <w:rFonts w:hint="eastAsia"/>
          <w:sz w:val="21"/>
          <w:szCs w:val="21"/>
        </w:rPr>
        <w:t>、工业建筑等场所隐患排查整治意见书电子文档，由采购人进行打印盖章派发；</w:t>
      </w:r>
      <w:r>
        <w:rPr>
          <w:rFonts w:hint="eastAsia" w:ascii="宋体" w:hAnsi="宋体" w:cs="Courier New"/>
          <w:sz w:val="21"/>
          <w:szCs w:val="21"/>
        </w:rPr>
        <w:t>提交项目排查评估总报告。</w:t>
      </w:r>
    </w:p>
    <w:p>
      <w:pPr>
        <w:numPr>
          <w:ilvl w:val="0"/>
          <w:numId w:val="6"/>
        </w:numPr>
        <w:tabs>
          <w:tab w:val="left" w:pos="420"/>
        </w:tabs>
        <w:adjustRightInd w:val="0"/>
        <w:snapToGrid w:val="0"/>
        <w:spacing w:line="360" w:lineRule="auto"/>
        <w:rPr>
          <w:sz w:val="21"/>
          <w:szCs w:val="21"/>
        </w:rPr>
      </w:pPr>
      <w:r>
        <w:rPr>
          <w:rFonts w:hint="eastAsia"/>
          <w:sz w:val="21"/>
          <w:szCs w:val="21"/>
        </w:rPr>
        <w:t>数据成果：排查结果信息数据，包括各排查评估对象的排查结果信息数据，场所档案资料数据。</w:t>
      </w:r>
    </w:p>
    <w:p>
      <w:pPr>
        <w:numPr>
          <w:ilvl w:val="0"/>
          <w:numId w:val="6"/>
        </w:numPr>
        <w:tabs>
          <w:tab w:val="left" w:pos="420"/>
        </w:tabs>
        <w:adjustRightInd w:val="0"/>
        <w:snapToGrid w:val="0"/>
        <w:spacing w:line="360" w:lineRule="auto"/>
        <w:rPr>
          <w:sz w:val="21"/>
          <w:szCs w:val="21"/>
        </w:rPr>
      </w:pPr>
      <w:r>
        <w:rPr>
          <w:rFonts w:hint="eastAsia"/>
          <w:sz w:val="21"/>
          <w:szCs w:val="21"/>
        </w:rPr>
        <w:t>成交供应商应为此项目提供信息查询服务器，提供相应查询页面，查询页面应提供每个场所排查结果查询入口和整治意见书下载入口。</w:t>
      </w:r>
    </w:p>
    <w:p>
      <w:pPr>
        <w:widowControl/>
        <w:spacing w:line="360" w:lineRule="auto"/>
        <w:ind w:left="425"/>
        <w:outlineLvl w:val="2"/>
        <w:rPr>
          <w:rFonts w:ascii="宋体" w:hAnsi="宋体" w:cs="宋体"/>
          <w:b/>
          <w:color w:val="000000"/>
          <w:sz w:val="21"/>
          <w:szCs w:val="21"/>
        </w:rPr>
      </w:pPr>
      <w:r>
        <w:rPr>
          <w:rFonts w:hint="eastAsia" w:ascii="宋体" w:hAnsi="宋体" w:cs="宋体"/>
          <w:b/>
          <w:color w:val="000000"/>
          <w:sz w:val="21"/>
          <w:szCs w:val="21"/>
        </w:rPr>
        <w:t>（六）验收要求</w:t>
      </w:r>
    </w:p>
    <w:p>
      <w:pPr>
        <w:numPr>
          <w:ilvl w:val="0"/>
          <w:numId w:val="7"/>
        </w:num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sz w:val="21"/>
          <w:szCs w:val="21"/>
          <w:lang w:bidi="ar"/>
        </w:rPr>
        <w:t>验收时间</w:t>
      </w:r>
      <w:r>
        <w:rPr>
          <w:rFonts w:hint="eastAsia" w:ascii="宋体" w:hAnsi="宋体" w:cs="宋体"/>
          <w:color w:val="000000" w:themeColor="text1"/>
          <w:sz w:val="21"/>
          <w:szCs w:val="21"/>
          <w:lang w:bidi="ar"/>
          <w14:textFill>
            <w14:solidFill>
              <w14:schemeClr w14:val="tx1"/>
            </w14:solidFill>
          </w14:textFill>
        </w:rPr>
        <w:t>：成交供应商项目完成后，应向采购人提出书面验收申请，采购人无异议的，10个工作日内组织验收，验收应在采购人与成交供应商双方共同参加下进行。</w:t>
      </w:r>
    </w:p>
    <w:p>
      <w:pPr>
        <w:numPr>
          <w:ilvl w:val="0"/>
          <w:numId w:val="7"/>
        </w:num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bidi="ar"/>
          <w14:textFill>
            <w14:solidFill>
              <w14:schemeClr w14:val="tx1"/>
            </w14:solidFill>
          </w14:textFill>
        </w:rPr>
        <w:t xml:space="preserve">验收内容：本项目采购需求的服务内容。 </w:t>
      </w:r>
    </w:p>
    <w:p>
      <w:pPr>
        <w:numPr>
          <w:ilvl w:val="0"/>
          <w:numId w:val="7"/>
        </w:numPr>
        <w:spacing w:line="360" w:lineRule="auto"/>
        <w:rPr>
          <w:rFonts w:ascii="宋体" w:hAnsi="宋体" w:cs="宋体"/>
          <w:color w:val="000000" w:themeColor="text1"/>
          <w:sz w:val="21"/>
          <w:szCs w:val="21"/>
          <w:lang w:bidi="ar"/>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验收按合同规定的要求和项目排查评估依据的技术标准和规范进行。</w:t>
      </w:r>
    </w:p>
    <w:p>
      <w:pPr>
        <w:numPr>
          <w:ilvl w:val="0"/>
          <w:numId w:val="7"/>
        </w:numPr>
        <w:spacing w:line="360" w:lineRule="auto"/>
        <w:rPr>
          <w:rFonts w:ascii="宋体" w:hAnsi="宋体" w:cs="宋体"/>
          <w:sz w:val="21"/>
          <w:szCs w:val="21"/>
          <w:lang w:bidi="ar"/>
        </w:rPr>
      </w:pPr>
      <w:r>
        <w:rPr>
          <w:rFonts w:hint="eastAsia" w:ascii="宋体" w:hAnsi="宋体" w:cs="宋体"/>
          <w:sz w:val="21"/>
          <w:szCs w:val="21"/>
          <w:lang w:bidi="ar"/>
        </w:rPr>
        <w:t>验收时如发现项目服务内容不符合项目需求规定之情形，采购人(或采购人委托第三方)应做好现场记录，提出整改建议，并交由成交供应商签字确认，或由采购人与成交供应商双方签署备忘录。此现场记录或备忘录可用作补充、缺失的有效证据。由此产生的有关费用由成交供应商承担。</w:t>
      </w:r>
    </w:p>
    <w:p>
      <w:pPr>
        <w:widowControl/>
        <w:spacing w:line="360" w:lineRule="auto"/>
        <w:ind w:left="425"/>
        <w:outlineLvl w:val="2"/>
        <w:rPr>
          <w:rFonts w:ascii="宋体" w:hAnsi="宋体" w:cs="宋体"/>
          <w:b/>
          <w:color w:val="000000"/>
          <w:sz w:val="21"/>
          <w:szCs w:val="21"/>
        </w:rPr>
      </w:pPr>
      <w:r>
        <w:rPr>
          <w:rFonts w:hint="eastAsia" w:ascii="宋体" w:hAnsi="宋体" w:cs="宋体"/>
          <w:b/>
          <w:color w:val="000000"/>
          <w:sz w:val="21"/>
          <w:szCs w:val="21"/>
        </w:rPr>
        <w:t>（七）其他要求</w:t>
      </w:r>
    </w:p>
    <w:p>
      <w:pPr>
        <w:numPr>
          <w:ilvl w:val="0"/>
          <w:numId w:val="8"/>
        </w:numPr>
        <w:spacing w:line="360" w:lineRule="auto"/>
        <w:rPr>
          <w:rFonts w:ascii="宋体" w:hAnsi="宋体" w:cs="宋体"/>
          <w:sz w:val="21"/>
          <w:szCs w:val="21"/>
        </w:rPr>
      </w:pPr>
      <w:r>
        <w:rPr>
          <w:rFonts w:hint="eastAsia" w:ascii="宋体" w:hAnsi="宋体" w:cs="宋体"/>
          <w:sz w:val="21"/>
          <w:szCs w:val="21"/>
          <w:lang w:bidi="ar"/>
        </w:rPr>
        <w:t>成交供应商须服从采购人的统一部署，尤其是排查评估现场检查的分工的安排，成交供应商须严格按照项目要求的技术标准进行实地检查和评估，期间交通、食宿自理，不得接受地方政府或社会单位任何形式的宴请和礼物。</w:t>
      </w:r>
    </w:p>
    <w:p>
      <w:pPr>
        <w:numPr>
          <w:ilvl w:val="0"/>
          <w:numId w:val="8"/>
        </w:numPr>
        <w:spacing w:line="360" w:lineRule="auto"/>
        <w:rPr>
          <w:rFonts w:ascii="宋体" w:hAnsi="宋体" w:cs="宋体"/>
          <w:sz w:val="21"/>
          <w:szCs w:val="21"/>
        </w:rPr>
      </w:pPr>
      <w:r>
        <w:rPr>
          <w:rFonts w:hint="eastAsia" w:ascii="宋体" w:hAnsi="宋体" w:cs="宋体"/>
          <w:sz w:val="21"/>
          <w:szCs w:val="21"/>
          <w:lang w:bidi="ar"/>
        </w:rPr>
        <w:t>成交供应商应具备火灾隐患重点地区整治评估数据的收发、制作、传递、使用及保存条件。</w:t>
      </w:r>
    </w:p>
    <w:p>
      <w:pPr>
        <w:numPr>
          <w:ilvl w:val="0"/>
          <w:numId w:val="8"/>
        </w:numPr>
        <w:spacing w:line="360" w:lineRule="auto"/>
        <w:rPr>
          <w:rFonts w:ascii="宋体" w:hAnsi="宋体" w:cs="宋体"/>
          <w:sz w:val="21"/>
          <w:szCs w:val="21"/>
        </w:rPr>
      </w:pPr>
      <w:r>
        <w:rPr>
          <w:rFonts w:hint="eastAsia" w:ascii="宋体" w:hAnsi="宋体" w:cs="宋体"/>
          <w:sz w:val="21"/>
          <w:szCs w:val="21"/>
          <w:lang w:bidi="ar"/>
        </w:rPr>
        <w:t>成交供应商有义务随时向采购人解释所有评估检查内容。</w:t>
      </w:r>
    </w:p>
    <w:p>
      <w:pPr>
        <w:numPr>
          <w:ilvl w:val="0"/>
          <w:numId w:val="8"/>
        </w:numPr>
        <w:spacing w:line="360" w:lineRule="auto"/>
        <w:rPr>
          <w:rFonts w:ascii="宋体" w:hAnsi="宋体" w:cs="宋体"/>
          <w:sz w:val="21"/>
          <w:szCs w:val="21"/>
        </w:rPr>
      </w:pPr>
      <w:r>
        <w:rPr>
          <w:rFonts w:hint="eastAsia" w:ascii="宋体" w:hAnsi="宋体" w:cs="宋体"/>
          <w:sz w:val="21"/>
          <w:szCs w:val="21"/>
          <w:lang w:bidi="ar"/>
        </w:rPr>
        <w:t>评估过程中，采购人可视情况派出工作组对成交供应商排查评估工作进行监督，并随机抽取一定数量的经成交供应商排查评估过的场所进行复核，复核成交供应商对场所的检查评分情况。</w:t>
      </w:r>
    </w:p>
    <w:p>
      <w:pPr>
        <w:numPr>
          <w:ilvl w:val="0"/>
          <w:numId w:val="8"/>
        </w:numPr>
        <w:spacing w:line="360" w:lineRule="auto"/>
        <w:rPr>
          <w:rFonts w:ascii="宋体" w:hAnsi="宋体" w:cs="宋体"/>
          <w:sz w:val="21"/>
          <w:szCs w:val="21"/>
        </w:rPr>
      </w:pPr>
      <w:r>
        <w:rPr>
          <w:rFonts w:hint="eastAsia" w:ascii="宋体" w:hAnsi="宋体" w:cs="宋体"/>
          <w:sz w:val="21"/>
          <w:szCs w:val="21"/>
          <w:lang w:bidi="ar"/>
        </w:rPr>
        <w:t>成交供应商未能按进度要求完成项目排查评估服务，从逾期之日起每日按本项目合同总价3‰的数额向采购人支付违约金；逾期15天以上（含15天）的，采购人有权终止合同，要求成交供应商支付违约金，并且给采购方造成的经济损失由成交供应商承担赔偿责任。（如因采购人配合不到位原因导致，则成交供应商无需承担责任，且服务期顺延））</w:t>
      </w:r>
    </w:p>
    <w:p>
      <w:pPr>
        <w:numPr>
          <w:ilvl w:val="0"/>
          <w:numId w:val="8"/>
        </w:numPr>
        <w:spacing w:line="360" w:lineRule="auto"/>
        <w:rPr>
          <w:rFonts w:ascii="宋体" w:hAnsi="宋体" w:cs="宋体"/>
          <w:sz w:val="21"/>
          <w:szCs w:val="21"/>
          <w:lang w:bidi="ar"/>
        </w:rPr>
      </w:pPr>
      <w:r>
        <w:rPr>
          <w:rFonts w:hint="eastAsia" w:ascii="宋体" w:hAnsi="宋体" w:cs="宋体"/>
          <w:sz w:val="21"/>
          <w:szCs w:val="21"/>
          <w:lang w:bidi="ar"/>
        </w:rPr>
        <w:t>成交供应商需提供消防排查档案资料及模版。</w:t>
      </w:r>
    </w:p>
    <w:p>
      <w:pPr>
        <w:widowControl/>
        <w:spacing w:line="360" w:lineRule="auto"/>
        <w:ind w:left="425"/>
        <w:outlineLvl w:val="2"/>
        <w:rPr>
          <w:rFonts w:ascii="宋体" w:hAnsi="宋体" w:cs="宋体"/>
          <w:b/>
          <w:color w:val="000000"/>
          <w:sz w:val="21"/>
          <w:szCs w:val="21"/>
        </w:rPr>
      </w:pPr>
      <w:r>
        <w:rPr>
          <w:rFonts w:hint="eastAsia" w:ascii="宋体" w:hAnsi="宋体" w:cs="宋体"/>
          <w:b/>
          <w:color w:val="000000"/>
          <w:sz w:val="21"/>
          <w:szCs w:val="21"/>
        </w:rPr>
        <w:t>（八）付款方式</w:t>
      </w:r>
    </w:p>
    <w:p>
      <w:pPr>
        <w:numPr>
          <w:ilvl w:val="0"/>
          <w:numId w:val="9"/>
        </w:numPr>
        <w:spacing w:line="360" w:lineRule="auto"/>
        <w:rPr>
          <w:rFonts w:ascii="宋体" w:hAnsi="宋体" w:cs="宋体"/>
          <w:sz w:val="21"/>
          <w:szCs w:val="21"/>
        </w:rPr>
      </w:pPr>
      <w:r>
        <w:rPr>
          <w:rFonts w:hint="eastAsia" w:ascii="宋体" w:hAnsi="宋体" w:cs="宋体"/>
          <w:sz w:val="21"/>
          <w:szCs w:val="21"/>
          <w:lang w:bidi="ar"/>
        </w:rPr>
        <w:t>合同款项按下列步骤分期支付：</w:t>
      </w:r>
    </w:p>
    <w:p>
      <w:pPr>
        <w:pStyle w:val="7"/>
        <w:numPr>
          <w:ilvl w:val="0"/>
          <w:numId w:val="10"/>
        </w:numPr>
        <w:spacing w:line="360" w:lineRule="auto"/>
        <w:ind w:firstLineChars="0"/>
        <w:rPr>
          <w:rFonts w:ascii="宋体" w:hAnsi="宋体" w:cs="宋体"/>
          <w:sz w:val="21"/>
          <w:szCs w:val="21"/>
        </w:rPr>
      </w:pPr>
      <w:r>
        <w:rPr>
          <w:rFonts w:hint="eastAsia" w:ascii="宋体" w:hAnsi="宋体" w:cs="宋体"/>
          <w:sz w:val="21"/>
          <w:szCs w:val="21"/>
        </w:rPr>
        <w:t>1期：支付比例30%，合同签订之日起10个工作日内，采购人办理第一期请款支付手续，向成交供应商支付合同总额的30%；</w:t>
      </w:r>
    </w:p>
    <w:p>
      <w:pPr>
        <w:pStyle w:val="7"/>
        <w:numPr>
          <w:ilvl w:val="0"/>
          <w:numId w:val="10"/>
        </w:numPr>
        <w:spacing w:line="360" w:lineRule="auto"/>
        <w:ind w:firstLineChars="0"/>
        <w:rPr>
          <w:rFonts w:ascii="宋体" w:hAnsi="宋体" w:cs="宋体"/>
          <w:sz w:val="21"/>
          <w:szCs w:val="21"/>
        </w:rPr>
      </w:pPr>
      <w:r>
        <w:rPr>
          <w:rFonts w:hint="eastAsia" w:ascii="宋体" w:hAnsi="宋体" w:cs="宋体"/>
          <w:sz w:val="21"/>
          <w:szCs w:val="21"/>
        </w:rPr>
        <w:t>2期：支付比例50%，成交供应商按照项目要求完成初次排查和复查，并出具整改意见书，在政府 同意验收通过之日起10个工作日内，采购人办理第二期请款支付手续，向成交供应商支付合同总额的50%；</w:t>
      </w:r>
    </w:p>
    <w:p>
      <w:pPr>
        <w:pStyle w:val="7"/>
        <w:numPr>
          <w:ilvl w:val="0"/>
          <w:numId w:val="10"/>
        </w:numPr>
        <w:spacing w:line="360" w:lineRule="auto"/>
        <w:ind w:firstLineChars="0"/>
        <w:rPr>
          <w:rFonts w:ascii="宋体" w:hAnsi="宋体" w:cs="宋体"/>
          <w:sz w:val="21"/>
          <w:szCs w:val="21"/>
        </w:rPr>
      </w:pPr>
      <w:r>
        <w:rPr>
          <w:rFonts w:hint="eastAsia" w:ascii="宋体" w:hAnsi="宋体" w:cs="宋体"/>
          <w:sz w:val="21"/>
          <w:szCs w:val="21"/>
        </w:rPr>
        <w:t>3期：支付比例20%，成交供应商完成本项目所有工作，在政府验收通过正式发文后的10个工作日内，采购人办理支付手续，向成交供应商支付合同总额的20%。</w:t>
      </w:r>
    </w:p>
    <w:p>
      <w:pPr>
        <w:numPr>
          <w:ilvl w:val="0"/>
          <w:numId w:val="9"/>
        </w:numPr>
        <w:spacing w:line="360" w:lineRule="auto"/>
        <w:rPr>
          <w:rFonts w:ascii="宋体" w:hAnsi="宋体" w:cs="宋体"/>
          <w:sz w:val="21"/>
          <w:szCs w:val="21"/>
          <w:lang w:bidi="ar"/>
        </w:rPr>
      </w:pPr>
      <w:r>
        <w:rPr>
          <w:rFonts w:hint="eastAsia" w:ascii="宋体" w:hAnsi="宋体" w:cs="宋体"/>
          <w:sz w:val="21"/>
          <w:szCs w:val="21"/>
          <w:lang w:bidi="ar"/>
        </w:rPr>
        <w:t>成交供应商凭以下有效文件与采购人结算：</w:t>
      </w:r>
    </w:p>
    <w:p>
      <w:pPr>
        <w:numPr>
          <w:ilvl w:val="0"/>
          <w:numId w:val="11"/>
        </w:numPr>
        <w:spacing w:line="360" w:lineRule="auto"/>
        <w:ind w:hanging="5"/>
        <w:rPr>
          <w:rFonts w:ascii="宋体" w:hAnsi="宋体" w:cs="宋体"/>
          <w:sz w:val="21"/>
          <w:szCs w:val="21"/>
        </w:rPr>
      </w:pPr>
      <w:r>
        <w:rPr>
          <w:rFonts w:hint="eastAsia" w:ascii="宋体" w:hAnsi="宋体" w:cs="宋体"/>
          <w:sz w:val="21"/>
          <w:szCs w:val="21"/>
        </w:rPr>
        <w:t>合同（首次支付需出具）；</w:t>
      </w:r>
    </w:p>
    <w:p>
      <w:pPr>
        <w:numPr>
          <w:ilvl w:val="0"/>
          <w:numId w:val="11"/>
        </w:numPr>
        <w:spacing w:line="360" w:lineRule="auto"/>
        <w:ind w:hanging="5"/>
        <w:rPr>
          <w:rFonts w:ascii="宋体" w:hAnsi="宋体" w:cs="宋体"/>
          <w:sz w:val="21"/>
          <w:szCs w:val="21"/>
        </w:rPr>
      </w:pPr>
      <w:r>
        <w:rPr>
          <w:rFonts w:hint="eastAsia" w:ascii="宋体" w:hAnsi="宋体" w:cs="宋体"/>
          <w:sz w:val="21"/>
          <w:szCs w:val="21"/>
        </w:rPr>
        <w:t>成交供应商开具的正式发票（每次支付需出具）；</w:t>
      </w:r>
    </w:p>
    <w:p>
      <w:pPr>
        <w:numPr>
          <w:ilvl w:val="0"/>
          <w:numId w:val="11"/>
        </w:numPr>
        <w:spacing w:line="360" w:lineRule="auto"/>
        <w:ind w:hanging="5"/>
        <w:rPr>
          <w:rFonts w:ascii="宋体" w:hAnsi="宋体" w:cs="宋体"/>
          <w:sz w:val="21"/>
          <w:szCs w:val="21"/>
        </w:rPr>
      </w:pPr>
      <w:r>
        <w:rPr>
          <w:rFonts w:hint="eastAsia" w:ascii="宋体" w:hAnsi="宋体" w:cs="宋体"/>
          <w:sz w:val="21"/>
          <w:szCs w:val="21"/>
        </w:rPr>
        <w:t>成交通知书（首次支付需出具）；</w:t>
      </w: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rPr>
          <w:rFonts w:hint="eastAsia" w:ascii="宋体" w:hAnsi="宋体" w:cs="宋体"/>
          <w:sz w:val="21"/>
          <w:szCs w:val="21"/>
        </w:rPr>
      </w:pPr>
    </w:p>
    <w:p>
      <w:pPr>
        <w:numPr>
          <w:ilvl w:val="0"/>
          <w:numId w:val="1"/>
        </w:numPr>
        <w:spacing w:line="360" w:lineRule="auto"/>
        <w:ind w:firstLine="0"/>
        <w:outlineLvl w:val="0"/>
        <w:rPr>
          <w:b/>
          <w:sz w:val="28"/>
        </w:rPr>
      </w:pPr>
      <w:r>
        <w:rPr>
          <w:rFonts w:hint="eastAsia"/>
          <w:b/>
          <w:sz w:val="28"/>
        </w:rPr>
        <w:t>合同书格式（适用于子项一、子项二、子项三）</w:t>
      </w:r>
    </w:p>
    <w:p>
      <w:pPr>
        <w:spacing w:line="360" w:lineRule="auto"/>
        <w:ind w:firstLine="301" w:firstLineChars="100"/>
        <w:jc w:val="left"/>
        <w:rPr>
          <w:rFonts w:ascii="宋体" w:hAnsi="宋体" w:cs="宋体"/>
          <w:szCs w:val="28"/>
        </w:rPr>
      </w:pPr>
      <w:r>
        <w:rPr>
          <w:rFonts w:hint="eastAsia" w:ascii="宋体" w:hAnsi="宋体" w:cs="宋体"/>
          <w:b/>
          <w:bCs/>
          <w:sz w:val="30"/>
        </w:rPr>
        <w:t>（合同格式为合同的参考文本，合同签订双方可根据项目的具体要求进行修订）</w:t>
      </w:r>
    </w:p>
    <w:p>
      <w:pPr>
        <w:pStyle w:val="5"/>
        <w:spacing w:line="360" w:lineRule="auto"/>
        <w:jc w:val="center"/>
        <w:rPr>
          <w:rFonts w:hAnsi="宋体" w:cs="宋体"/>
          <w:b/>
          <w:bCs/>
          <w:sz w:val="28"/>
          <w:szCs w:val="28"/>
        </w:rPr>
      </w:pPr>
      <w:r>
        <w:rPr>
          <w:rFonts w:hint="eastAsia" w:hAnsi="宋体" w:cs="宋体"/>
          <w:b/>
          <w:bCs/>
          <w:sz w:val="28"/>
          <w:szCs w:val="28"/>
        </w:rPr>
        <w:t>采购合同</w:t>
      </w:r>
    </w:p>
    <w:p>
      <w:pPr>
        <w:pStyle w:val="5"/>
        <w:spacing w:line="360" w:lineRule="auto"/>
        <w:jc w:val="center"/>
        <w:rPr>
          <w:rFonts w:hAnsi="宋体" w:cs="宋体"/>
          <w:b/>
          <w:bCs/>
          <w:sz w:val="21"/>
        </w:rPr>
      </w:pPr>
      <w:r>
        <w:rPr>
          <w:rFonts w:hint="eastAsia" w:hAnsi="宋体" w:cs="宋体"/>
          <w:sz w:val="21"/>
        </w:rPr>
        <w:t xml:space="preserve">                                                合同编号：</w:t>
      </w:r>
    </w:p>
    <w:p>
      <w:pPr>
        <w:spacing w:line="360" w:lineRule="auto"/>
        <w:rPr>
          <w:rFonts w:ascii="宋体" w:hAnsi="宋体" w:cs="宋体"/>
          <w:sz w:val="21"/>
          <w:szCs w:val="21"/>
        </w:rPr>
      </w:pPr>
      <w:r>
        <w:rPr>
          <w:rFonts w:hint="eastAsia" w:ascii="宋体" w:hAnsi="宋体" w:cs="宋体"/>
          <w:sz w:val="21"/>
          <w:szCs w:val="21"/>
        </w:rPr>
        <w:t>甲方（采购人）：</w:t>
      </w:r>
    </w:p>
    <w:p>
      <w:pPr>
        <w:spacing w:line="360" w:lineRule="auto"/>
        <w:rPr>
          <w:rFonts w:ascii="宋体" w:hAnsi="宋体" w:cs="宋体"/>
          <w:sz w:val="21"/>
          <w:szCs w:val="21"/>
        </w:rPr>
      </w:pPr>
      <w:r>
        <w:rPr>
          <w:rFonts w:hint="eastAsia" w:ascii="宋体" w:hAnsi="宋体" w:cs="宋体"/>
          <w:sz w:val="21"/>
          <w:szCs w:val="21"/>
        </w:rPr>
        <w:t>乙方（成交供应商）：</w:t>
      </w:r>
    </w:p>
    <w:p>
      <w:pPr>
        <w:spacing w:line="360" w:lineRule="auto"/>
        <w:ind w:firstLine="420" w:firstLineChars="200"/>
        <w:rPr>
          <w:rFonts w:ascii="宋体" w:hAnsi="宋体" w:cs="宋体"/>
          <w:sz w:val="21"/>
          <w:szCs w:val="21"/>
        </w:rPr>
      </w:pPr>
      <w:r>
        <w:rPr>
          <w:rFonts w:hint="eastAsia" w:ascii="宋体" w:hAnsi="宋体" w:cs="宋体"/>
          <w:sz w:val="21"/>
          <w:szCs w:val="21"/>
        </w:rPr>
        <w:t>根据《中华人民共和国民法典》及</w:t>
      </w:r>
      <w:r>
        <w:rPr>
          <w:rFonts w:hint="eastAsia" w:ascii="宋体" w:hAnsi="宋体" w:cs="宋体"/>
          <w:sz w:val="21"/>
          <w:szCs w:val="21"/>
          <w:u w:val="single"/>
        </w:rPr>
        <w:t xml:space="preserve">          </w:t>
      </w:r>
      <w:r>
        <w:rPr>
          <w:rFonts w:hint="eastAsia" w:ascii="宋体" w:hAnsi="宋体" w:cs="宋体"/>
          <w:bCs/>
          <w:sz w:val="21"/>
          <w:szCs w:val="21"/>
        </w:rPr>
        <w:t>项目</w:t>
      </w:r>
      <w:r>
        <w:rPr>
          <w:rFonts w:hint="eastAsia" w:ascii="宋体" w:hAnsi="宋体" w:cs="宋体"/>
          <w:sz w:val="21"/>
          <w:szCs w:val="21"/>
        </w:rPr>
        <w:t>”（项目编号：</w:t>
      </w:r>
      <w:r>
        <w:rPr>
          <w:rFonts w:hint="eastAsia" w:ascii="宋体" w:hAnsi="宋体" w:cs="宋体"/>
          <w:bCs/>
          <w:sz w:val="21"/>
          <w:szCs w:val="21"/>
          <w:u w:val="single"/>
        </w:rPr>
        <w:t xml:space="preserve">       </w:t>
      </w:r>
      <w:r>
        <w:rPr>
          <w:rFonts w:hint="eastAsia" w:ascii="宋体" w:hAnsi="宋体" w:cs="宋体"/>
          <w:sz w:val="21"/>
          <w:szCs w:val="21"/>
        </w:rPr>
        <w:t>）竞争性磋商文件的要求和磋商结果，经甲乙双方协商一致，签订本合同。双方共同遵守如下条款（其他有关合同项目的特定信息由合同附件予以说明，合同附件及本项目的竞争性磋商文件、响应文件等均为本合同不可分割之一部分）：</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合同标的</w:t>
      </w:r>
    </w:p>
    <w:p>
      <w:pPr>
        <w:spacing w:line="360" w:lineRule="auto"/>
        <w:ind w:firstLine="420" w:firstLineChars="200"/>
        <w:rPr>
          <w:rFonts w:ascii="宋体" w:hAnsi="宋体" w:cs="宋体"/>
          <w:sz w:val="21"/>
          <w:szCs w:val="21"/>
        </w:rPr>
      </w:pPr>
      <w:r>
        <w:rPr>
          <w:rFonts w:hint="eastAsia" w:ascii="宋体" w:hAnsi="宋体" w:cs="宋体"/>
          <w:sz w:val="21"/>
          <w:szCs w:val="21"/>
        </w:rPr>
        <w:t>乙方受甲方委托，作为</w:t>
      </w:r>
      <w:r>
        <w:rPr>
          <w:rFonts w:hint="eastAsia" w:ascii="宋体" w:hAnsi="宋体" w:cs="宋体"/>
          <w:bCs/>
          <w:sz w:val="21"/>
          <w:szCs w:val="21"/>
        </w:rPr>
        <w:t xml:space="preserve"> </w:t>
      </w:r>
      <w:r>
        <w:rPr>
          <w:rFonts w:hint="eastAsia" w:ascii="宋体" w:hAnsi="宋体" w:cs="宋体"/>
          <w:bCs/>
          <w:sz w:val="21"/>
          <w:szCs w:val="21"/>
          <w:u w:val="single"/>
        </w:rPr>
        <w:t xml:space="preserve">          </w:t>
      </w:r>
      <w:r>
        <w:rPr>
          <w:rFonts w:hint="eastAsia" w:ascii="宋体" w:hAnsi="宋体" w:cs="宋体"/>
          <w:bCs/>
          <w:sz w:val="21"/>
          <w:szCs w:val="21"/>
        </w:rPr>
        <w:t>项目的服务单位</w:t>
      </w:r>
      <w:r>
        <w:rPr>
          <w:rFonts w:hint="eastAsia" w:ascii="宋体" w:hAnsi="宋体" w:cs="宋体"/>
          <w:sz w:val="21"/>
          <w:szCs w:val="21"/>
        </w:rPr>
        <w:t>。</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合同总价</w:t>
      </w:r>
    </w:p>
    <w:p>
      <w:pPr>
        <w:spacing w:line="360" w:lineRule="auto"/>
        <w:ind w:firstLine="420" w:firstLineChars="200"/>
        <w:rPr>
          <w:rFonts w:ascii="宋体" w:hAnsi="宋体" w:cs="宋体"/>
          <w:sz w:val="21"/>
          <w:szCs w:val="21"/>
        </w:rPr>
      </w:pPr>
      <w:r>
        <w:rPr>
          <w:rFonts w:hint="eastAsia" w:ascii="宋体" w:hAnsi="宋体" w:cs="宋体"/>
          <w:sz w:val="21"/>
          <w:szCs w:val="21"/>
        </w:rPr>
        <w:t>成交总价为人民币</w:t>
      </w:r>
      <w:r>
        <w:rPr>
          <w:rFonts w:hint="eastAsia" w:ascii="宋体" w:hAnsi="宋体" w:cs="宋体"/>
          <w:sz w:val="21"/>
          <w:szCs w:val="21"/>
          <w:u w:val="single"/>
        </w:rPr>
        <w:t xml:space="preserve">             </w:t>
      </w:r>
      <w:r>
        <w:rPr>
          <w:rFonts w:hint="eastAsia" w:ascii="宋体" w:hAnsi="宋体" w:cs="宋体"/>
          <w:sz w:val="21"/>
          <w:szCs w:val="21"/>
        </w:rPr>
        <w:t>元，大写</w:t>
      </w:r>
      <w:r>
        <w:rPr>
          <w:rFonts w:hint="eastAsia" w:ascii="宋体" w:hAnsi="宋体" w:cs="宋体"/>
          <w:sz w:val="21"/>
          <w:szCs w:val="21"/>
          <w:u w:val="single"/>
        </w:rPr>
        <w:t xml:space="preserve">               </w:t>
      </w:r>
      <w:r>
        <w:rPr>
          <w:rFonts w:hint="eastAsia" w:ascii="宋体" w:hAnsi="宋体" w:cs="宋体"/>
          <w:sz w:val="21"/>
          <w:szCs w:val="21"/>
        </w:rPr>
        <w:t xml:space="preserve"> 。</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服务期限</w:t>
      </w:r>
    </w:p>
    <w:p>
      <w:pPr>
        <w:spacing w:line="360" w:lineRule="auto"/>
        <w:ind w:firstLine="420" w:firstLineChars="200"/>
        <w:rPr>
          <w:rFonts w:ascii="宋体" w:hAnsi="宋体" w:cs="宋体"/>
          <w:sz w:val="21"/>
          <w:szCs w:val="21"/>
        </w:rPr>
      </w:pPr>
      <w:r>
        <w:rPr>
          <w:rFonts w:hint="eastAsia" w:ascii="宋体" w:hAnsi="宋体" w:cs="宋体"/>
          <w:sz w:val="21"/>
          <w:szCs w:val="21"/>
        </w:rPr>
        <w:t>合同签订之日起，自20</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日起至20</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日止。</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甲方乙方的权利和义务</w:t>
      </w:r>
    </w:p>
    <w:p>
      <w:pPr>
        <w:spacing w:line="360" w:lineRule="auto"/>
        <w:ind w:firstLine="210" w:firstLineChars="100"/>
        <w:jc w:val="left"/>
        <w:rPr>
          <w:rFonts w:ascii="宋体" w:hAnsi="宋体" w:cs="宋体"/>
          <w:sz w:val="21"/>
          <w:szCs w:val="21"/>
        </w:rPr>
      </w:pPr>
      <w:r>
        <w:rPr>
          <w:rFonts w:hint="eastAsia" w:ascii="宋体" w:hAnsi="宋体" w:cs="宋体"/>
          <w:sz w:val="21"/>
          <w:szCs w:val="21"/>
        </w:rPr>
        <w:t>（一）甲方的权利和义务：</w:t>
      </w:r>
    </w:p>
    <w:p>
      <w:pPr>
        <w:spacing w:line="360" w:lineRule="auto"/>
        <w:ind w:firstLine="491" w:firstLineChars="234"/>
        <w:rPr>
          <w:rFonts w:ascii="宋体" w:hAnsi="宋体" w:cs="宋体"/>
          <w:sz w:val="21"/>
          <w:szCs w:val="21"/>
        </w:rPr>
      </w:pPr>
      <w:r>
        <w:rPr>
          <w:rFonts w:hint="eastAsia" w:ascii="宋体" w:hAnsi="宋体" w:cs="宋体"/>
          <w:sz w:val="21"/>
          <w:szCs w:val="21"/>
        </w:rPr>
        <w:t>1．在项目实施过程中，如甲方有咨询或异议，乙方应于</w:t>
      </w:r>
      <w:r>
        <w:rPr>
          <w:rFonts w:hint="eastAsia" w:ascii="宋体" w:hAnsi="宋体" w:cs="宋体"/>
          <w:sz w:val="21"/>
          <w:szCs w:val="21"/>
          <w:u w:val="single"/>
        </w:rPr>
        <w:t>3</w:t>
      </w:r>
      <w:r>
        <w:rPr>
          <w:rFonts w:hint="eastAsia" w:ascii="宋体" w:hAnsi="宋体" w:cs="宋体"/>
          <w:sz w:val="21"/>
          <w:szCs w:val="21"/>
        </w:rPr>
        <w:t>个工作日内予以答复。</w:t>
      </w:r>
    </w:p>
    <w:p>
      <w:pPr>
        <w:spacing w:line="360" w:lineRule="auto"/>
        <w:ind w:firstLine="491" w:firstLineChars="234"/>
        <w:rPr>
          <w:rFonts w:ascii="宋体" w:hAnsi="宋体" w:cs="宋体"/>
          <w:sz w:val="21"/>
          <w:szCs w:val="21"/>
        </w:rPr>
      </w:pPr>
      <w:r>
        <w:rPr>
          <w:rFonts w:hint="eastAsia" w:ascii="宋体" w:hAnsi="宋体" w:cs="宋体"/>
          <w:sz w:val="21"/>
          <w:szCs w:val="21"/>
        </w:rPr>
        <w:t>2．有权监督乙方实施项目的进展情况，并提出整改意见。</w:t>
      </w:r>
    </w:p>
    <w:p>
      <w:pPr>
        <w:spacing w:line="360" w:lineRule="auto"/>
        <w:ind w:firstLine="283" w:firstLineChars="135"/>
        <w:rPr>
          <w:rFonts w:ascii="宋体" w:hAnsi="宋体" w:cs="宋体"/>
          <w:sz w:val="21"/>
          <w:szCs w:val="21"/>
        </w:rPr>
      </w:pPr>
      <w:r>
        <w:rPr>
          <w:rFonts w:hint="eastAsia" w:ascii="宋体" w:hAnsi="宋体" w:cs="宋体"/>
          <w:sz w:val="21"/>
          <w:szCs w:val="21"/>
        </w:rPr>
        <w:t xml:space="preserve">  3．甲方有权确定项目是否通过验收。</w:t>
      </w:r>
    </w:p>
    <w:p>
      <w:pPr>
        <w:spacing w:line="360" w:lineRule="auto"/>
        <w:ind w:firstLine="210" w:firstLineChars="100"/>
        <w:rPr>
          <w:rFonts w:ascii="宋体" w:hAnsi="宋体" w:cs="宋体"/>
          <w:sz w:val="21"/>
          <w:szCs w:val="21"/>
        </w:rPr>
      </w:pPr>
      <w:r>
        <w:rPr>
          <w:rFonts w:hint="eastAsia" w:ascii="宋体" w:hAnsi="宋体" w:cs="宋体"/>
          <w:sz w:val="21"/>
          <w:szCs w:val="21"/>
        </w:rPr>
        <w:t>（二）乙方的权利和义务：</w:t>
      </w:r>
    </w:p>
    <w:p>
      <w:pPr>
        <w:spacing w:line="360" w:lineRule="auto"/>
        <w:rPr>
          <w:rFonts w:ascii="宋体" w:hAnsi="宋体" w:cs="宋体"/>
          <w:sz w:val="21"/>
          <w:szCs w:val="21"/>
        </w:rPr>
      </w:pPr>
      <w:r>
        <w:rPr>
          <w:rFonts w:hint="eastAsia" w:ascii="宋体" w:hAnsi="宋体" w:cs="宋体"/>
          <w:sz w:val="21"/>
          <w:szCs w:val="21"/>
        </w:rPr>
        <w:t xml:space="preserve">     1．乙方应诚实、勤勉，以专业水平配合甲方实施项目。</w:t>
      </w:r>
    </w:p>
    <w:p>
      <w:pPr>
        <w:spacing w:line="360" w:lineRule="auto"/>
        <w:rPr>
          <w:rFonts w:ascii="宋体" w:hAnsi="宋体" w:cs="宋体"/>
          <w:sz w:val="21"/>
          <w:szCs w:val="21"/>
        </w:rPr>
      </w:pPr>
      <w:r>
        <w:rPr>
          <w:rFonts w:hint="eastAsia" w:ascii="宋体" w:hAnsi="宋体" w:cs="宋体"/>
          <w:sz w:val="21"/>
          <w:szCs w:val="21"/>
        </w:rPr>
        <w:t xml:space="preserve">     2．乙方应保证有充足的专业资源与人力资源支持本项目运行。本项目工作人员不得少于合同约定的人数。</w:t>
      </w:r>
    </w:p>
    <w:p>
      <w:pPr>
        <w:spacing w:line="360" w:lineRule="auto"/>
        <w:rPr>
          <w:rFonts w:ascii="宋体" w:hAnsi="宋体" w:cs="宋体"/>
          <w:sz w:val="21"/>
          <w:szCs w:val="21"/>
        </w:rPr>
      </w:pPr>
      <w:r>
        <w:rPr>
          <w:rFonts w:hint="eastAsia" w:ascii="宋体" w:hAnsi="宋体" w:cs="宋体"/>
          <w:sz w:val="21"/>
          <w:szCs w:val="21"/>
        </w:rPr>
        <w:t xml:space="preserve">    3．如非法定情形，乙方不得在未取得甲方事先书面同意的前提下变更或减少实施项目的人员。</w:t>
      </w:r>
    </w:p>
    <w:p>
      <w:pPr>
        <w:spacing w:line="360" w:lineRule="auto"/>
        <w:rPr>
          <w:rFonts w:ascii="宋体" w:hAnsi="宋体" w:cs="宋体"/>
          <w:sz w:val="21"/>
          <w:szCs w:val="21"/>
        </w:rPr>
      </w:pPr>
      <w:r>
        <w:rPr>
          <w:rFonts w:hint="eastAsia" w:ascii="宋体" w:hAnsi="宋体" w:cs="宋体"/>
          <w:sz w:val="21"/>
          <w:szCs w:val="21"/>
        </w:rPr>
        <w:t xml:space="preserve">    4．乙方工作人员配合甲方期间，乙方人员的安全健康问题由乙方负责。</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项目要求</w:t>
      </w:r>
    </w:p>
    <w:p>
      <w:pPr>
        <w:numPr>
          <w:ilvl w:val="2"/>
          <w:numId w:val="12"/>
        </w:numPr>
        <w:spacing w:line="360" w:lineRule="auto"/>
        <w:rPr>
          <w:rFonts w:ascii="宋体" w:hAnsi="宋体" w:cs="宋体"/>
          <w:sz w:val="21"/>
          <w:szCs w:val="21"/>
        </w:rPr>
      </w:pPr>
      <w:r>
        <w:rPr>
          <w:rFonts w:hint="eastAsia" w:ascii="宋体" w:hAnsi="宋体" w:cs="宋体"/>
          <w:sz w:val="21"/>
          <w:szCs w:val="21"/>
        </w:rPr>
        <w:t>具体要求以竞争性磋商文件以及乙方的响应文件承诺为准，如竞争性磋商文件与响应文件不一致时，以更有利于甲方的条款执行。</w:t>
      </w:r>
    </w:p>
    <w:p>
      <w:pPr>
        <w:numPr>
          <w:ilvl w:val="2"/>
          <w:numId w:val="12"/>
        </w:numPr>
        <w:spacing w:line="360" w:lineRule="auto"/>
        <w:rPr>
          <w:rFonts w:ascii="宋体" w:hAnsi="宋体" w:cs="宋体"/>
          <w:sz w:val="21"/>
          <w:szCs w:val="21"/>
        </w:rPr>
      </w:pPr>
      <w:r>
        <w:rPr>
          <w:rFonts w:hint="eastAsia" w:ascii="宋体" w:hAnsi="宋体" w:cs="宋体"/>
          <w:sz w:val="21"/>
          <w:szCs w:val="21"/>
        </w:rPr>
        <w:t>验收要求：以采购人采购需求书为准。</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付款方式</w:t>
      </w:r>
    </w:p>
    <w:p>
      <w:pPr>
        <w:spacing w:line="360" w:lineRule="auto"/>
        <w:ind w:left="418" w:leftChars="174" w:firstLine="105" w:firstLineChars="50"/>
        <w:rPr>
          <w:rFonts w:ascii="宋体" w:hAnsi="宋体" w:cs="宋体"/>
          <w:sz w:val="21"/>
          <w:szCs w:val="21"/>
        </w:rPr>
      </w:pPr>
      <w:r>
        <w:rPr>
          <w:rFonts w:hint="eastAsia" w:ascii="宋体" w:hAnsi="宋体" w:cs="宋体"/>
          <w:sz w:val="21"/>
          <w:szCs w:val="21"/>
        </w:rPr>
        <w:t>详见采购人的采购需求书的对应内容。</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知识产权</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1．知识产权是指根据相关法律法规、行政法规以及国际条约、协定或合同的规定，相关方对智力成果享有的任何权利，其种类不限于著作权、专利权和商标权等。</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就执行本项目形成的文件、数据材料、研究成果，甲方享有全部的知识产权，乙方就项目文件仅具有在本项目范围内的使用权。项目结束之后，乙方如需使用前述文件，包括但不限于引用项目文件或甲方提供的与项目相关的文件，在项目文件的基础上进行衍生创作等，均须取得甲方事先书面同意。</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3．未经甲方允许，乙方不得向任何第三方提供或公布数据指标与分析报告，并遵守有关保密条款，如出现泄密，后果由成交供应商负全部责任并赔偿对采购人造成的所有损失。</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保密</w:t>
      </w:r>
    </w:p>
    <w:p>
      <w:pPr>
        <w:tabs>
          <w:tab w:val="left" w:pos="420"/>
        </w:tabs>
        <w:spacing w:line="360" w:lineRule="auto"/>
        <w:ind w:firstLine="424" w:firstLineChars="202"/>
        <w:rPr>
          <w:rFonts w:ascii="宋体" w:hAnsi="宋体" w:cs="宋体"/>
          <w:sz w:val="21"/>
          <w:szCs w:val="21"/>
        </w:rPr>
      </w:pPr>
      <w:r>
        <w:rPr>
          <w:rFonts w:hint="eastAsia" w:ascii="宋体" w:hAnsi="宋体" w:cs="宋体"/>
          <w:sz w:val="21"/>
          <w:szCs w:val="21"/>
        </w:rPr>
        <w:t>1．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420"/>
        </w:tabs>
        <w:spacing w:line="360" w:lineRule="auto"/>
        <w:ind w:firstLine="424" w:firstLineChars="202"/>
        <w:rPr>
          <w:rFonts w:ascii="宋体" w:hAnsi="宋体" w:cs="宋体"/>
          <w:sz w:val="21"/>
          <w:szCs w:val="21"/>
        </w:rPr>
      </w:pPr>
      <w:r>
        <w:rPr>
          <w:rFonts w:hint="eastAsia" w:ascii="宋体" w:hAnsi="宋体" w:cs="宋体"/>
          <w:sz w:val="21"/>
          <w:szCs w:val="21"/>
        </w:rPr>
        <w:t>2．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违约责任与赔偿损失</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 乙方未能按规定时间完成相关工作，从逾期之日起每日甲方扣减乙方成交金额1‰的违约金；逾期半个月以上的，甲方有权终止合同，乙方退回已收取的预付款并向甲方支付该项预付款3%的违约金。</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 乙方在项目执行过程中如存在弄虚作假的情况，一经发现，甲方有权终止合同，乙方退回已收取的预付款，并向甲方支付该项预付款3%的违约金。</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不可抗力</w:t>
      </w:r>
    </w:p>
    <w:p>
      <w:pPr>
        <w:spacing w:line="360" w:lineRule="auto"/>
        <w:ind w:firstLine="420" w:firstLineChars="200"/>
        <w:rPr>
          <w:rFonts w:ascii="宋体" w:hAnsi="宋体" w:cs="宋体"/>
          <w:sz w:val="21"/>
          <w:szCs w:val="21"/>
        </w:rPr>
      </w:pPr>
      <w:r>
        <w:rPr>
          <w:rFonts w:hint="eastAsia" w:ascii="宋体" w:hAnsi="宋体" w:cs="宋体"/>
          <w:sz w:val="21"/>
          <w:szCs w:val="21"/>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争议及解决办法</w:t>
      </w:r>
    </w:p>
    <w:p>
      <w:pPr>
        <w:spacing w:line="360" w:lineRule="auto"/>
        <w:ind w:firstLine="420" w:firstLineChars="200"/>
        <w:rPr>
          <w:rFonts w:ascii="宋体" w:hAnsi="宋体" w:cs="宋体"/>
          <w:sz w:val="21"/>
          <w:szCs w:val="21"/>
        </w:rPr>
      </w:pPr>
      <w:r>
        <w:rPr>
          <w:rFonts w:hint="eastAsia" w:ascii="宋体" w:hAnsi="宋体" w:cs="宋体"/>
          <w:sz w:val="21"/>
          <w:szCs w:val="21"/>
        </w:rPr>
        <w:t>本合同发生争议，由双方协商调解解决，协商或调解不成时按以下第</w:t>
      </w:r>
      <w:r>
        <w:rPr>
          <w:rFonts w:hint="eastAsia" w:ascii="宋体" w:hAnsi="宋体" w:cs="宋体"/>
          <w:sz w:val="21"/>
          <w:szCs w:val="21"/>
          <w:u w:val="single"/>
        </w:rPr>
        <w:t xml:space="preserve">     </w:t>
      </w:r>
      <w:r>
        <w:rPr>
          <w:rFonts w:hint="eastAsia" w:ascii="宋体" w:hAnsi="宋体" w:cs="宋体"/>
          <w:sz w:val="21"/>
          <w:szCs w:val="21"/>
        </w:rPr>
        <w:t>种方式解决（请选择）：</w:t>
      </w:r>
    </w:p>
    <w:p>
      <w:pPr>
        <w:widowControl/>
        <w:numPr>
          <w:ilvl w:val="2"/>
          <w:numId w:val="12"/>
        </w:numPr>
        <w:spacing w:line="360" w:lineRule="auto"/>
        <w:jc w:val="left"/>
        <w:rPr>
          <w:rFonts w:ascii="宋体" w:hAnsi="宋体" w:cs="宋体"/>
          <w:sz w:val="21"/>
          <w:szCs w:val="21"/>
        </w:rPr>
      </w:pPr>
      <w:r>
        <w:rPr>
          <w:rFonts w:hint="eastAsia" w:ascii="宋体" w:hAnsi="宋体" w:cs="宋体"/>
          <w:sz w:val="21"/>
          <w:szCs w:val="21"/>
        </w:rPr>
        <w:t>中国广州仲裁委员会仲裁；</w:t>
      </w:r>
    </w:p>
    <w:p>
      <w:pPr>
        <w:widowControl/>
        <w:numPr>
          <w:ilvl w:val="2"/>
          <w:numId w:val="12"/>
        </w:numPr>
        <w:spacing w:line="360" w:lineRule="auto"/>
        <w:jc w:val="left"/>
        <w:rPr>
          <w:rFonts w:ascii="宋体" w:hAnsi="宋体" w:cs="宋体"/>
          <w:sz w:val="21"/>
          <w:szCs w:val="21"/>
        </w:rPr>
      </w:pPr>
      <w:r>
        <w:rPr>
          <w:rFonts w:hint="eastAsia" w:ascii="宋体" w:hAnsi="宋体" w:cs="宋体"/>
          <w:sz w:val="21"/>
          <w:szCs w:val="21"/>
        </w:rPr>
        <w:t>向甲方所在地人民法院提起诉讼。</w:t>
      </w:r>
    </w:p>
    <w:p>
      <w:pPr>
        <w:widowControl/>
        <w:numPr>
          <w:ilvl w:val="0"/>
          <w:numId w:val="12"/>
        </w:numPr>
        <w:spacing w:line="360" w:lineRule="auto"/>
        <w:ind w:left="567" w:hanging="567"/>
        <w:jc w:val="left"/>
        <w:rPr>
          <w:rFonts w:ascii="宋体" w:hAnsi="宋体" w:cs="宋体"/>
          <w:b/>
          <w:sz w:val="21"/>
          <w:szCs w:val="21"/>
        </w:rPr>
      </w:pPr>
      <w:r>
        <w:rPr>
          <w:rFonts w:hint="eastAsia" w:ascii="宋体" w:hAnsi="宋体" w:cs="宋体"/>
          <w:b/>
          <w:sz w:val="21"/>
          <w:szCs w:val="21"/>
        </w:rPr>
        <w:t>其他</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本合同一式</w:t>
      </w:r>
      <w:r>
        <w:rPr>
          <w:rFonts w:hint="eastAsia" w:ascii="宋体" w:hAnsi="宋体" w:cs="宋体"/>
          <w:sz w:val="21"/>
          <w:szCs w:val="21"/>
          <w:u w:val="single"/>
        </w:rPr>
        <w:t xml:space="preserve">  </w:t>
      </w:r>
      <w:r>
        <w:rPr>
          <w:rFonts w:hint="eastAsia" w:ascii="宋体" w:hAnsi="宋体" w:cs="宋体"/>
          <w:sz w:val="21"/>
          <w:szCs w:val="21"/>
        </w:rPr>
        <w:t>份，具有同等效力，甲、乙双方各执</w:t>
      </w:r>
      <w:r>
        <w:rPr>
          <w:rFonts w:hint="eastAsia" w:ascii="宋体" w:hAnsi="宋体" w:cs="宋体"/>
          <w:sz w:val="21"/>
          <w:szCs w:val="21"/>
          <w:u w:val="single"/>
        </w:rPr>
        <w:t xml:space="preserve">   </w:t>
      </w:r>
      <w:r>
        <w:rPr>
          <w:rFonts w:hint="eastAsia" w:ascii="宋体" w:hAnsi="宋体" w:cs="宋体"/>
          <w:sz w:val="21"/>
          <w:szCs w:val="21"/>
        </w:rPr>
        <w:t>份，采购代理机构壹份。合同自双方签字盖章之日起生效。</w:t>
      </w:r>
    </w:p>
    <w:p>
      <w:pPr>
        <w:spacing w:line="360" w:lineRule="auto"/>
        <w:ind w:firstLine="420" w:firstLineChars="200"/>
        <w:rPr>
          <w:rFonts w:ascii="宋体" w:hAnsi="宋体" w:cs="宋体"/>
          <w:sz w:val="21"/>
          <w:szCs w:val="21"/>
        </w:rPr>
      </w:pPr>
      <w:r>
        <w:rPr>
          <w:rFonts w:hint="eastAsia" w:ascii="宋体" w:hAnsi="宋体" w:cs="宋体"/>
          <w:sz w:val="21"/>
          <w:szCs w:val="21"/>
        </w:rPr>
        <w:t>本合同未尽事宜，由双方协商处理。</w:t>
      </w: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rPr>
          <w:rFonts w:ascii="宋体" w:hAnsi="宋体" w:cs="宋体"/>
          <w:sz w:val="21"/>
          <w:szCs w:val="21"/>
        </w:rPr>
      </w:pPr>
    </w:p>
    <w:p>
      <w:pPr>
        <w:spacing w:line="360" w:lineRule="auto"/>
        <w:ind w:left="480" w:leftChars="200"/>
        <w:rPr>
          <w:rFonts w:ascii="宋体" w:hAnsi="宋体" w:cs="宋体"/>
          <w:sz w:val="21"/>
          <w:szCs w:val="21"/>
        </w:rPr>
      </w:pPr>
      <w:r>
        <w:rPr>
          <w:rFonts w:hint="eastAsia" w:ascii="宋体" w:hAnsi="宋体" w:cs="宋体"/>
          <w:sz w:val="21"/>
          <w:szCs w:val="21"/>
        </w:rPr>
        <w:t>甲方：                                  乙方：</w:t>
      </w:r>
    </w:p>
    <w:p>
      <w:pPr>
        <w:spacing w:line="360" w:lineRule="auto"/>
        <w:ind w:left="480" w:leftChars="200"/>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 xml:space="preserve">（加盖公章）             </w:t>
      </w:r>
      <w:r>
        <w:rPr>
          <w:rFonts w:hint="eastAsia" w:ascii="宋体" w:hAnsi="宋体" w:cs="宋体"/>
          <w:sz w:val="21"/>
          <w:szCs w:val="21"/>
          <w:u w:val="single"/>
        </w:rPr>
        <w:t xml:space="preserve">                 </w:t>
      </w:r>
      <w:r>
        <w:rPr>
          <w:rFonts w:hint="eastAsia" w:ascii="宋体" w:hAnsi="宋体" w:cs="宋体"/>
          <w:sz w:val="21"/>
          <w:szCs w:val="21"/>
        </w:rPr>
        <w:t>（加盖公章）</w:t>
      </w:r>
    </w:p>
    <w:p>
      <w:pPr>
        <w:spacing w:line="360" w:lineRule="auto"/>
        <w:ind w:left="480" w:leftChars="200"/>
        <w:rPr>
          <w:rFonts w:ascii="宋体" w:hAnsi="宋体" w:cs="宋体"/>
          <w:sz w:val="21"/>
          <w:szCs w:val="21"/>
        </w:rPr>
      </w:pPr>
      <w:r>
        <w:rPr>
          <w:rFonts w:hint="eastAsia" w:ascii="宋体" w:hAnsi="宋体" w:cs="宋体"/>
          <w:sz w:val="21"/>
          <w:szCs w:val="21"/>
        </w:rPr>
        <w:t>法定代表人：                            法定代表人：</w:t>
      </w:r>
    </w:p>
    <w:p>
      <w:pPr>
        <w:spacing w:line="360" w:lineRule="auto"/>
        <w:ind w:left="480" w:leftChars="200"/>
        <w:rPr>
          <w:rFonts w:ascii="宋体" w:hAnsi="宋体" w:cs="宋体"/>
          <w:sz w:val="21"/>
          <w:szCs w:val="21"/>
        </w:rPr>
      </w:pPr>
      <w:r>
        <w:rPr>
          <w:rFonts w:hint="eastAsia" w:ascii="宋体" w:hAnsi="宋体" w:cs="宋体"/>
          <w:sz w:val="21"/>
          <w:szCs w:val="21"/>
        </w:rPr>
        <w:t>签约代表：                              签约代表：</w:t>
      </w:r>
    </w:p>
    <w:p>
      <w:pPr>
        <w:spacing w:line="360" w:lineRule="auto"/>
        <w:ind w:left="480" w:leftChars="200"/>
        <w:rPr>
          <w:rFonts w:ascii="宋体" w:hAnsi="宋体" w:cs="宋体"/>
          <w:sz w:val="21"/>
          <w:szCs w:val="21"/>
        </w:rPr>
      </w:pPr>
      <w:r>
        <w:rPr>
          <w:rFonts w:hint="eastAsia" w:ascii="宋体" w:hAnsi="宋体" w:cs="宋体"/>
          <w:sz w:val="21"/>
          <w:szCs w:val="21"/>
        </w:rPr>
        <w:t>地    址：                              地    址：</w:t>
      </w:r>
    </w:p>
    <w:p>
      <w:pPr>
        <w:spacing w:line="360" w:lineRule="auto"/>
        <w:ind w:left="480" w:leftChars="200"/>
        <w:rPr>
          <w:rFonts w:ascii="宋体" w:hAnsi="宋体" w:cs="宋体"/>
          <w:sz w:val="21"/>
          <w:szCs w:val="21"/>
        </w:rPr>
      </w:pPr>
      <w:r>
        <w:rPr>
          <w:rFonts w:hint="eastAsia" w:ascii="宋体" w:hAnsi="宋体" w:cs="宋体"/>
          <w:sz w:val="21"/>
          <w:szCs w:val="21"/>
        </w:rPr>
        <w:t>电    话：                              电    话：</w:t>
      </w:r>
    </w:p>
    <w:p>
      <w:pPr>
        <w:spacing w:line="360" w:lineRule="auto"/>
        <w:ind w:left="480" w:leftChars="200"/>
        <w:rPr>
          <w:rFonts w:ascii="宋体" w:hAnsi="宋体" w:cs="宋体"/>
          <w:sz w:val="21"/>
          <w:szCs w:val="21"/>
        </w:rPr>
      </w:pPr>
      <w:r>
        <w:rPr>
          <w:rFonts w:hint="eastAsia" w:ascii="宋体" w:hAnsi="宋体" w:cs="宋体"/>
          <w:sz w:val="21"/>
          <w:szCs w:val="21"/>
        </w:rPr>
        <w:t>传    真：                              传    真：</w:t>
      </w:r>
    </w:p>
    <w:p>
      <w:pPr>
        <w:spacing w:line="360" w:lineRule="auto"/>
        <w:ind w:left="480" w:leftChars="200"/>
        <w:rPr>
          <w:rFonts w:ascii="宋体" w:hAnsi="宋体" w:cs="宋体"/>
          <w:sz w:val="21"/>
          <w:szCs w:val="21"/>
        </w:rPr>
      </w:pPr>
      <w:r>
        <w:rPr>
          <w:rFonts w:hint="eastAsia" w:ascii="宋体" w:hAnsi="宋体" w:cs="宋体"/>
          <w:sz w:val="21"/>
          <w:szCs w:val="21"/>
        </w:rPr>
        <w:t>签约日期：    年  月  日                签约日期：    年  月  日</w:t>
      </w:r>
    </w:p>
    <w:p>
      <w:pPr>
        <w:spacing w:line="360" w:lineRule="auto"/>
        <w:ind w:left="480" w:leftChars="200"/>
        <w:rPr>
          <w:rFonts w:ascii="宋体" w:hAnsi="宋体" w:cs="宋体"/>
          <w:sz w:val="21"/>
          <w:szCs w:val="21"/>
        </w:rPr>
      </w:pPr>
      <w:r>
        <w:rPr>
          <w:rFonts w:hint="eastAsia" w:ascii="宋体" w:hAnsi="宋体" w:cs="宋体"/>
          <w:sz w:val="21"/>
          <w:szCs w:val="21"/>
        </w:rPr>
        <w:t>开户银行：                              开户银行：</w:t>
      </w:r>
    </w:p>
    <w:p>
      <w:pPr>
        <w:pStyle w:val="5"/>
        <w:spacing w:line="360" w:lineRule="auto"/>
        <w:ind w:firstLine="420"/>
        <w:rPr>
          <w:rFonts w:hAnsi="宋体" w:cs="宋体"/>
          <w:sz w:val="21"/>
        </w:rPr>
      </w:pPr>
      <w:r>
        <w:rPr>
          <w:rFonts w:hint="eastAsia" w:hAnsi="宋体" w:cs="宋体"/>
          <w:sz w:val="21"/>
        </w:rPr>
        <w:t>账    户：                              账    户：</w:t>
      </w:r>
    </w:p>
    <w:p>
      <w:pPr>
        <w:rPr>
          <w:rFonts w:hAnsi="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CFFE7"/>
    <w:multiLevelType w:val="singleLevel"/>
    <w:tmpl w:val="8AFCFFE7"/>
    <w:lvl w:ilvl="0" w:tentative="0">
      <w:start w:val="1"/>
      <w:numFmt w:val="chineseCounting"/>
      <w:suff w:val="nothing"/>
      <w:lvlText w:val="%1、"/>
      <w:lvlJc w:val="left"/>
      <w:pPr>
        <w:ind w:left="0" w:firstLine="420"/>
      </w:pPr>
      <w:rPr>
        <w:rFonts w:hint="eastAsia"/>
      </w:rPr>
    </w:lvl>
  </w:abstractNum>
  <w:abstractNum w:abstractNumId="1">
    <w:nsid w:val="918AED50"/>
    <w:multiLevelType w:val="singleLevel"/>
    <w:tmpl w:val="918AED50"/>
    <w:lvl w:ilvl="0" w:tentative="0">
      <w:start w:val="1"/>
      <w:numFmt w:val="decimal"/>
      <w:lvlText w:val="%1."/>
      <w:lvlJc w:val="left"/>
      <w:pPr>
        <w:ind w:left="425" w:hanging="425"/>
      </w:pPr>
      <w:rPr>
        <w:rFonts w:hint="default"/>
      </w:rPr>
    </w:lvl>
  </w:abstractNum>
  <w:abstractNum w:abstractNumId="2">
    <w:nsid w:val="98F0CFFB"/>
    <w:multiLevelType w:val="singleLevel"/>
    <w:tmpl w:val="98F0CFFB"/>
    <w:lvl w:ilvl="0" w:tentative="0">
      <w:start w:val="1"/>
      <w:numFmt w:val="decimal"/>
      <w:lvlText w:val="%1."/>
      <w:lvlJc w:val="left"/>
      <w:pPr>
        <w:ind w:left="425" w:hanging="425"/>
      </w:pPr>
      <w:rPr>
        <w:rFonts w:hint="default"/>
      </w:rPr>
    </w:lvl>
  </w:abstractNum>
  <w:abstractNum w:abstractNumId="3">
    <w:nsid w:val="D8CFC92A"/>
    <w:multiLevelType w:val="singleLevel"/>
    <w:tmpl w:val="D8CFC92A"/>
    <w:lvl w:ilvl="0" w:tentative="0">
      <w:start w:val="1"/>
      <w:numFmt w:val="decimal"/>
      <w:lvlText w:val="(%1)"/>
      <w:lvlJc w:val="left"/>
      <w:pPr>
        <w:tabs>
          <w:tab w:val="left" w:pos="420"/>
        </w:tabs>
        <w:ind w:left="845" w:hanging="425"/>
      </w:pPr>
      <w:rPr>
        <w:rFonts w:hint="default"/>
      </w:rPr>
    </w:lvl>
  </w:abstractNum>
  <w:abstractNum w:abstractNumId="4">
    <w:nsid w:val="DC42B574"/>
    <w:multiLevelType w:val="singleLevel"/>
    <w:tmpl w:val="DC42B574"/>
    <w:lvl w:ilvl="0" w:tentative="0">
      <w:start w:val="1"/>
      <w:numFmt w:val="decimal"/>
      <w:lvlText w:val="%1."/>
      <w:lvlJc w:val="left"/>
      <w:pPr>
        <w:ind w:left="425" w:hanging="425"/>
      </w:pPr>
      <w:rPr>
        <w:rFonts w:hint="default"/>
      </w:rPr>
    </w:lvl>
  </w:abstractNum>
  <w:abstractNum w:abstractNumId="5">
    <w:nsid w:val="DF061D04"/>
    <w:multiLevelType w:val="singleLevel"/>
    <w:tmpl w:val="DF061D04"/>
    <w:lvl w:ilvl="0" w:tentative="0">
      <w:start w:val="1"/>
      <w:numFmt w:val="decimal"/>
      <w:lvlText w:val="%1."/>
      <w:lvlJc w:val="left"/>
      <w:pPr>
        <w:ind w:left="425" w:hanging="425"/>
      </w:pPr>
      <w:rPr>
        <w:rFonts w:hint="default"/>
      </w:rPr>
    </w:lvl>
  </w:abstractNum>
  <w:abstractNum w:abstractNumId="6">
    <w:nsid w:val="F720D14E"/>
    <w:multiLevelType w:val="singleLevel"/>
    <w:tmpl w:val="F720D14E"/>
    <w:lvl w:ilvl="0" w:tentative="0">
      <w:start w:val="1"/>
      <w:numFmt w:val="decimal"/>
      <w:lvlText w:val="%1."/>
      <w:lvlJc w:val="left"/>
      <w:pPr>
        <w:ind w:left="425" w:hanging="425"/>
      </w:pPr>
      <w:rPr>
        <w:rFonts w:hint="default"/>
      </w:rPr>
    </w:lvl>
  </w:abstractNum>
  <w:abstractNum w:abstractNumId="7">
    <w:nsid w:val="1743D5F5"/>
    <w:multiLevelType w:val="singleLevel"/>
    <w:tmpl w:val="1743D5F5"/>
    <w:lvl w:ilvl="0" w:tentative="0">
      <w:start w:val="1"/>
      <w:numFmt w:val="decimal"/>
      <w:lvlText w:val="(%1)"/>
      <w:lvlJc w:val="left"/>
      <w:pPr>
        <w:tabs>
          <w:tab w:val="left" w:pos="420"/>
        </w:tabs>
        <w:ind w:left="845" w:hanging="425"/>
      </w:pPr>
      <w:rPr>
        <w:rFonts w:hint="default"/>
      </w:rPr>
    </w:lvl>
  </w:abstractNum>
  <w:abstractNum w:abstractNumId="8">
    <w:nsid w:val="1B5B3237"/>
    <w:multiLevelType w:val="singleLevel"/>
    <w:tmpl w:val="1B5B3237"/>
    <w:lvl w:ilvl="0" w:tentative="0">
      <w:start w:val="1"/>
      <w:numFmt w:val="decimal"/>
      <w:lvlText w:val="%1."/>
      <w:lvlJc w:val="left"/>
      <w:pPr>
        <w:ind w:left="425" w:hanging="425"/>
      </w:pPr>
      <w:rPr>
        <w:rFonts w:hint="default"/>
      </w:rPr>
    </w:lvl>
  </w:abstractNum>
  <w:abstractNum w:abstractNumId="9">
    <w:nsid w:val="50FA51B3"/>
    <w:multiLevelType w:val="singleLevel"/>
    <w:tmpl w:val="50FA51B3"/>
    <w:lvl w:ilvl="0" w:tentative="0">
      <w:start w:val="1"/>
      <w:numFmt w:val="decimal"/>
      <w:lvlText w:val="(%1)"/>
      <w:lvlJc w:val="left"/>
      <w:pPr>
        <w:tabs>
          <w:tab w:val="left" w:pos="420"/>
        </w:tabs>
        <w:ind w:left="845" w:hanging="425"/>
      </w:pPr>
      <w:rPr>
        <w:rFonts w:hint="default"/>
      </w:rPr>
    </w:lvl>
  </w:abstractNum>
  <w:abstractNum w:abstractNumId="10">
    <w:nsid w:val="783D80FD"/>
    <w:multiLevelType w:val="singleLevel"/>
    <w:tmpl w:val="783D80FD"/>
    <w:lvl w:ilvl="0" w:tentative="0">
      <w:start w:val="1"/>
      <w:numFmt w:val="decimal"/>
      <w:lvlText w:val="(%1)"/>
      <w:lvlJc w:val="left"/>
      <w:pPr>
        <w:ind w:left="425" w:hanging="425"/>
      </w:pPr>
      <w:rPr>
        <w:rFonts w:hint="default"/>
      </w:rPr>
    </w:lvl>
  </w:abstractNum>
  <w:abstractNum w:abstractNumId="11">
    <w:nsid w:val="7AA737B0"/>
    <w:multiLevelType w:val="multilevel"/>
    <w:tmpl w:val="7AA737B0"/>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424" w:hanging="567"/>
      </w:pPr>
      <w:rPr>
        <w:rFonts w:hint="eastAsia" w:ascii="宋体" w:hAnsi="宋体" w:eastAsia="宋体"/>
        <w:sz w:val="24"/>
        <w:szCs w:val="24"/>
      </w:rPr>
    </w:lvl>
    <w:lvl w:ilvl="2" w:tentative="0">
      <w:start w:val="1"/>
      <w:numFmt w:val="decimal"/>
      <w:lvlText w:val="%3."/>
      <w:lvlJc w:val="left"/>
      <w:pPr>
        <w:ind w:left="425" w:hanging="567"/>
      </w:pPr>
      <w:rPr>
        <w:rFonts w:hint="eastAsia"/>
      </w:rPr>
    </w:lvl>
    <w:lvl w:ilvl="3" w:tentative="0">
      <w:start w:val="1"/>
      <w:numFmt w:val="decimal"/>
      <w:lvlText w:val="(%4)"/>
      <w:lvlJc w:val="left"/>
      <w:pPr>
        <w:ind w:left="1416" w:hanging="708"/>
      </w:pPr>
      <w:rPr>
        <w:rFonts w:hint="eastAsia"/>
      </w:rPr>
    </w:lvl>
    <w:lvl w:ilvl="4" w:tentative="0">
      <w:start w:val="1"/>
      <w:numFmt w:val="decimal"/>
      <w:lvlText w:val="%1.%2.%3.%4.%5"/>
      <w:lvlJc w:val="left"/>
      <w:pPr>
        <w:ind w:left="1983" w:hanging="850"/>
      </w:pPr>
      <w:rPr>
        <w:rFonts w:hint="eastAsia"/>
      </w:rPr>
    </w:lvl>
    <w:lvl w:ilvl="5" w:tentative="0">
      <w:start w:val="1"/>
      <w:numFmt w:val="decimal"/>
      <w:lvlText w:val="%1.%2.%3.%4.%5.%6"/>
      <w:lvlJc w:val="left"/>
      <w:pPr>
        <w:ind w:left="2692" w:hanging="1134"/>
      </w:pPr>
      <w:rPr>
        <w:rFonts w:hint="eastAsia"/>
      </w:rPr>
    </w:lvl>
    <w:lvl w:ilvl="6" w:tentative="0">
      <w:start w:val="1"/>
      <w:numFmt w:val="decimal"/>
      <w:lvlText w:val="%1.%2.%3.%4.%5.%6.%7"/>
      <w:lvlJc w:val="left"/>
      <w:pPr>
        <w:ind w:left="3259" w:hanging="1276"/>
      </w:pPr>
      <w:rPr>
        <w:rFonts w:hint="eastAsia"/>
      </w:rPr>
    </w:lvl>
    <w:lvl w:ilvl="7" w:tentative="0">
      <w:start w:val="1"/>
      <w:numFmt w:val="decimal"/>
      <w:lvlText w:val="%1.%2.%3.%4.%5.%6.%7.%8"/>
      <w:lvlJc w:val="left"/>
      <w:pPr>
        <w:ind w:left="3826" w:hanging="1418"/>
      </w:pPr>
      <w:rPr>
        <w:rFonts w:hint="eastAsia"/>
      </w:rPr>
    </w:lvl>
    <w:lvl w:ilvl="8" w:tentative="0">
      <w:start w:val="1"/>
      <w:numFmt w:val="decimal"/>
      <w:lvlText w:val="%1.%2.%3.%4.%5.%6.%7.%8.%9"/>
      <w:lvlJc w:val="left"/>
      <w:pPr>
        <w:ind w:left="4534" w:hanging="1700"/>
      </w:pPr>
      <w:rPr>
        <w:rFonts w:hint="eastAsia"/>
      </w:rPr>
    </w:lvl>
  </w:abstractNum>
  <w:num w:numId="1">
    <w:abstractNumId w:val="0"/>
  </w:num>
  <w:num w:numId="2">
    <w:abstractNumId w:val="2"/>
  </w:num>
  <w:num w:numId="3">
    <w:abstractNumId w:val="1"/>
  </w:num>
  <w:num w:numId="4">
    <w:abstractNumId w:val="7"/>
  </w:num>
  <w:num w:numId="5">
    <w:abstractNumId w:val="9"/>
  </w:num>
  <w:num w:numId="6">
    <w:abstractNumId w:val="4"/>
  </w:num>
  <w:num w:numId="7">
    <w:abstractNumId w:val="6"/>
  </w:num>
  <w:num w:numId="8">
    <w:abstractNumId w:val="8"/>
  </w:num>
  <w:num w:numId="9">
    <w:abstractNumId w:val="5"/>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zE3MWRiZDVlZDU3OTNmYTI0OWVjZjAwZDk4NzYifQ=="/>
  </w:docVars>
  <w:rsids>
    <w:rsidRoot w:val="693475CD"/>
    <w:rsid w:val="00614DC3"/>
    <w:rsid w:val="00DE2945"/>
    <w:rsid w:val="00FB4F51"/>
    <w:rsid w:val="036B032A"/>
    <w:rsid w:val="0A854E82"/>
    <w:rsid w:val="16CA6BEA"/>
    <w:rsid w:val="21816606"/>
    <w:rsid w:val="28225A39"/>
    <w:rsid w:val="332756C2"/>
    <w:rsid w:val="373757CA"/>
    <w:rsid w:val="43FC2123"/>
    <w:rsid w:val="45367939"/>
    <w:rsid w:val="46004DE1"/>
    <w:rsid w:val="5A82338E"/>
    <w:rsid w:val="5BDA6A80"/>
    <w:rsid w:val="60A2743D"/>
    <w:rsid w:val="693475CD"/>
    <w:rsid w:val="707D6850"/>
    <w:rsid w:val="75F0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eastAsia="仿宋_GB2312"/>
      <w:sz w:val="30"/>
      <w:szCs w:val="20"/>
    </w:rPr>
  </w:style>
  <w:style w:type="paragraph" w:styleId="3">
    <w:name w:val="Body Text"/>
    <w:basedOn w:val="1"/>
    <w:qFormat/>
    <w:uiPriority w:val="0"/>
  </w:style>
  <w:style w:type="paragraph" w:styleId="4">
    <w:name w:val="Body Text Indent"/>
    <w:basedOn w:val="1"/>
    <w:next w:val="2"/>
    <w:qFormat/>
    <w:uiPriority w:val="0"/>
    <w:pPr>
      <w:ind w:firstLine="570"/>
    </w:pPr>
    <w:rPr>
      <w:rFonts w:ascii="宋体" w:hAnsi="宋体"/>
      <w:sz w:val="28"/>
      <w:szCs w:val="20"/>
    </w:rPr>
  </w:style>
  <w:style w:type="paragraph" w:styleId="5">
    <w:name w:val="Plain Text"/>
    <w:basedOn w:val="1"/>
    <w:qFormat/>
    <w:uiPriority w:val="0"/>
    <w:rPr>
      <w:rFonts w:ascii="宋体" w:hAnsi="Courier New" w:cs="Courier New"/>
      <w:szCs w:val="21"/>
    </w:rPr>
  </w:style>
  <w:style w:type="paragraph" w:styleId="6">
    <w:name w:val="Body Text First Indent"/>
    <w:basedOn w:val="3"/>
    <w:qFormat/>
    <w:uiPriority w:val="0"/>
    <w:pPr>
      <w:spacing w:after="120"/>
      <w:ind w:firstLine="420" w:firstLineChars="100"/>
    </w:pPr>
    <w:rPr>
      <w:sz w:val="21"/>
    </w:rPr>
  </w:style>
  <w:style w:type="paragraph" w:styleId="7">
    <w:name w:val="Body Text First Indent 2"/>
    <w:basedOn w:val="4"/>
    <w:next w:val="1"/>
    <w:qFormat/>
    <w:uiPriority w:val="0"/>
    <w:pPr>
      <w:ind w:firstLine="420" w:firstLineChars="200"/>
    </w:pPr>
    <w:rPr>
      <w:rFonts w:ascii="Times New Roman" w:hAnsi="Times New Roman" w:cs="Times New Roma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宋体 行距: 1.5 倍行距"/>
    <w:basedOn w:val="1"/>
    <w:unhideWhenUsed/>
    <w:qFormat/>
    <w:uiPriority w:val="0"/>
    <w:pPr>
      <w:jc w:val="center"/>
    </w:pPr>
    <w:rPr>
      <w:b/>
    </w:rPr>
  </w:style>
  <w:style w:type="paragraph" w:customStyle="1" w:styleId="12">
    <w:name w:val="表格文字"/>
    <w:basedOn w:val="1"/>
    <w:qFormat/>
    <w:uiPriority w:val="0"/>
    <w:pPr>
      <w:spacing w:before="25" w:after="25"/>
      <w:jc w:val="left"/>
    </w:pPr>
    <w:rPr>
      <w:bCs/>
      <w:spacing w:val="10"/>
      <w:kern w:val="0"/>
      <w:szCs w:val="20"/>
    </w:rPr>
  </w:style>
  <w:style w:type="paragraph" w:customStyle="1" w:styleId="13">
    <w:name w:val="正文_0_0"/>
    <w:qFormat/>
    <w:uiPriority w:val="0"/>
    <w:rPr>
      <w:rFonts w:ascii="Times New Roman" w:hAnsi="Times New Roman" w:eastAsia="宋体" w:cs="Times New Roman"/>
      <w:sz w:val="21"/>
      <w:lang w:val="en-US" w:eastAsia="zh-CN" w:bidi="ar-SA"/>
    </w:rPr>
  </w:style>
  <w:style w:type="paragraph" w:styleId="14">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833</Words>
  <Characters>4749</Characters>
  <Lines>39</Lines>
  <Paragraphs>11</Paragraphs>
  <TotalTime>17</TotalTime>
  <ScaleCrop>false</ScaleCrop>
  <LinksUpToDate>false</LinksUpToDate>
  <CharactersWithSpaces>5571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2023-08-30T09:28:00Z</dcterms:created>
  <dc:creator>春天</dc:creator>
  <cp:lastModifiedBy>Esther</cp:lastModifiedBy>
  <dcterms:modified xsi:type="dcterms:W3CDTF">2023-10-11T07:37:36Z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4BA977D784C245F1B627E2CBA5B28BD6_13</vt:lpwstr>
  </property>
</Properties>
</file>