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F9084">
      <w:pPr>
        <w:rPr>
          <w:rFonts w:hint="default"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eastAsia="zh-CN"/>
        </w:rPr>
        <w:t>附表</w:t>
      </w:r>
      <w:r>
        <w:rPr>
          <w:rFonts w:hint="eastAsia" w:ascii="Times New Roman" w:hAnsi="Times New Roman" w:eastAsia="黑体" w:cs="黑体"/>
          <w:sz w:val="32"/>
          <w:szCs w:val="32"/>
          <w:highlight w:val="none"/>
          <w:lang w:val="en-US" w:eastAsia="zh-CN"/>
        </w:rPr>
        <w:t>5</w:t>
      </w:r>
    </w:p>
    <w:p w14:paraId="5A0F30BC">
      <w:pPr>
        <w:jc w:val="center"/>
        <w:rPr>
          <w:rFonts w:hint="eastAsia" w:ascii="Times New Roman" w:hAnsi="Times New Roman" w:eastAsia="方正小标宋简体" w:cs="方正小标宋简体"/>
          <w:color w:val="auto"/>
          <w:sz w:val="32"/>
          <w:szCs w:val="32"/>
          <w:highlight w:val="none"/>
          <w:lang w:val="en-US" w:eastAsia="zh-CN"/>
        </w:rPr>
      </w:pPr>
      <w:r>
        <w:rPr>
          <w:rFonts w:hint="eastAsia" w:ascii="Times New Roman" w:hAnsi="Times New Roman" w:eastAsia="方正小标宋简体" w:cs="方正小标宋简体"/>
          <w:color w:val="auto"/>
          <w:sz w:val="32"/>
          <w:szCs w:val="32"/>
          <w:highlight w:val="none"/>
          <w:lang w:val="en-US" w:eastAsia="zh-CN"/>
        </w:rPr>
        <w:t>海珠区人力资源</w:t>
      </w:r>
      <w:bookmarkStart w:id="0" w:name="_GoBack"/>
      <w:bookmarkEnd w:id="0"/>
      <w:r>
        <w:rPr>
          <w:rFonts w:hint="eastAsia" w:ascii="Times New Roman" w:hAnsi="Times New Roman" w:eastAsia="方正小标宋简体" w:cs="方正小标宋简体"/>
          <w:color w:val="auto"/>
          <w:sz w:val="32"/>
          <w:szCs w:val="32"/>
          <w:highlight w:val="none"/>
          <w:lang w:val="en-US" w:eastAsia="zh-CN"/>
        </w:rPr>
        <w:t>业企业计分表</w:t>
      </w:r>
    </w:p>
    <w:tbl>
      <w:tblPr>
        <w:tblStyle w:val="5"/>
        <w:tblW w:w="9024" w:type="dxa"/>
        <w:tblInd w:w="-381" w:type="dxa"/>
        <w:tblLayout w:type="fixed"/>
        <w:tblCellMar>
          <w:top w:w="0" w:type="dxa"/>
          <w:left w:w="0" w:type="dxa"/>
          <w:bottom w:w="0" w:type="dxa"/>
          <w:right w:w="0" w:type="dxa"/>
        </w:tblCellMar>
      </w:tblPr>
      <w:tblGrid>
        <w:gridCol w:w="1143"/>
        <w:gridCol w:w="2438"/>
        <w:gridCol w:w="2850"/>
        <w:gridCol w:w="1575"/>
        <w:gridCol w:w="1018"/>
      </w:tblGrid>
      <w:tr w14:paraId="744C5476">
        <w:tblPrEx>
          <w:tblCellMar>
            <w:top w:w="0" w:type="dxa"/>
            <w:left w:w="0" w:type="dxa"/>
            <w:bottom w:w="0" w:type="dxa"/>
            <w:right w:w="0" w:type="dxa"/>
          </w:tblCellMar>
        </w:tblPrEx>
        <w:trPr>
          <w:trHeight w:val="523" w:hRule="atLeast"/>
        </w:trPr>
        <w:tc>
          <w:tcPr>
            <w:tcW w:w="11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E6DA96">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highlight w:val="none"/>
                <w:u w:val="none"/>
                <w:lang w:val="en-US" w:eastAsia="zh-CN" w:bidi="ar"/>
              </w:rPr>
            </w:pPr>
            <w:r>
              <w:rPr>
                <w:rFonts w:hint="eastAsia" w:ascii="仿宋_GB2312" w:hAnsi="仿宋_GB2312" w:eastAsia="仿宋_GB2312" w:cs="仿宋_GB2312"/>
                <w:i w:val="0"/>
                <w:color w:val="auto"/>
                <w:kern w:val="0"/>
                <w:sz w:val="20"/>
                <w:szCs w:val="20"/>
                <w:highlight w:val="none"/>
                <w:u w:val="none"/>
                <w:lang w:val="en-US" w:eastAsia="zh-CN" w:bidi="ar"/>
              </w:rPr>
              <w:t>序号</w:t>
            </w:r>
          </w:p>
        </w:tc>
        <w:tc>
          <w:tcPr>
            <w:tcW w:w="243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2E43AA80">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highlight w:val="none"/>
                <w:u w:val="none"/>
                <w:lang w:val="en-US" w:eastAsia="zh-CN" w:bidi="ar"/>
              </w:rPr>
            </w:pPr>
            <w:r>
              <w:rPr>
                <w:rFonts w:hint="eastAsia" w:ascii="仿宋_GB2312" w:hAnsi="仿宋_GB2312" w:eastAsia="仿宋_GB2312" w:cs="仿宋_GB2312"/>
                <w:i w:val="0"/>
                <w:color w:val="auto"/>
                <w:kern w:val="0"/>
                <w:sz w:val="20"/>
                <w:szCs w:val="20"/>
                <w:highlight w:val="none"/>
                <w:u w:val="none"/>
                <w:lang w:val="en-US" w:eastAsia="zh-CN" w:bidi="ar"/>
              </w:rPr>
              <w:t>指标内容</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482761">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highlight w:val="none"/>
                <w:u w:val="none"/>
                <w:lang w:val="en-US" w:eastAsia="zh-CN" w:bidi="ar"/>
              </w:rPr>
            </w:pPr>
            <w:r>
              <w:rPr>
                <w:rFonts w:hint="eastAsia" w:ascii="仿宋_GB2312" w:hAnsi="仿宋_GB2312" w:eastAsia="仿宋_GB2312" w:cs="仿宋_GB2312"/>
                <w:i w:val="0"/>
                <w:color w:val="auto"/>
                <w:kern w:val="0"/>
                <w:sz w:val="20"/>
                <w:szCs w:val="20"/>
                <w:highlight w:val="none"/>
                <w:u w:val="none"/>
                <w:lang w:val="en-US" w:eastAsia="zh-CN" w:bidi="ar"/>
              </w:rPr>
              <w:t>分值说明</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B90B88">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highlight w:val="none"/>
                <w:u w:val="none"/>
                <w:lang w:val="en-US" w:eastAsia="zh-CN" w:bidi="ar"/>
              </w:rPr>
            </w:pPr>
            <w:r>
              <w:rPr>
                <w:rFonts w:hint="eastAsia" w:ascii="仿宋_GB2312" w:hAnsi="仿宋_GB2312" w:eastAsia="仿宋_GB2312" w:cs="仿宋_GB2312"/>
                <w:i w:val="0"/>
                <w:color w:val="auto"/>
                <w:kern w:val="0"/>
                <w:sz w:val="20"/>
                <w:szCs w:val="20"/>
                <w:highlight w:val="none"/>
                <w:u w:val="none"/>
                <w:lang w:val="en-US" w:eastAsia="zh-CN" w:bidi="ar"/>
              </w:rPr>
              <w:t>填报数据</w:t>
            </w:r>
          </w:p>
        </w:tc>
        <w:tc>
          <w:tcPr>
            <w:tcW w:w="1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6FA1D8">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highlight w:val="none"/>
                <w:u w:val="none"/>
                <w:lang w:val="en-US" w:eastAsia="zh-CN" w:bidi="ar"/>
              </w:rPr>
            </w:pPr>
            <w:r>
              <w:rPr>
                <w:rFonts w:hint="eastAsia" w:ascii="仿宋_GB2312" w:hAnsi="仿宋_GB2312" w:eastAsia="仿宋_GB2312" w:cs="仿宋_GB2312"/>
                <w:i w:val="0"/>
                <w:color w:val="auto"/>
                <w:kern w:val="0"/>
                <w:sz w:val="20"/>
                <w:szCs w:val="20"/>
                <w:highlight w:val="none"/>
                <w:u w:val="none"/>
                <w:lang w:val="en-US" w:eastAsia="zh-CN" w:bidi="ar"/>
              </w:rPr>
              <w:t>得分</w:t>
            </w:r>
          </w:p>
        </w:tc>
      </w:tr>
      <w:tr w14:paraId="4DA69062">
        <w:tblPrEx>
          <w:tblCellMar>
            <w:top w:w="0" w:type="dxa"/>
            <w:left w:w="0" w:type="dxa"/>
            <w:bottom w:w="0" w:type="dxa"/>
            <w:right w:w="0" w:type="dxa"/>
          </w:tblCellMar>
        </w:tblPrEx>
        <w:trPr>
          <w:trHeight w:val="1830" w:hRule="atLeast"/>
        </w:trPr>
        <w:tc>
          <w:tcPr>
            <w:tcW w:w="11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8B2662">
            <w:pPr>
              <w:keepNext w:val="0"/>
              <w:keepLines w:val="0"/>
              <w:widowControl/>
              <w:suppressLineNumbers w:val="0"/>
              <w:jc w:val="center"/>
              <w:textAlignment w:val="center"/>
              <w:rPr>
                <w:rFonts w:hint="default" w:ascii="仿宋_GB2312" w:hAnsi="仿宋_GB2312" w:eastAsia="仿宋_GB2312" w:cs="仿宋_GB2312"/>
                <w:i w:val="0"/>
                <w:color w:val="auto"/>
                <w:kern w:val="0"/>
                <w:sz w:val="20"/>
                <w:szCs w:val="20"/>
                <w:highlight w:val="none"/>
                <w:u w:val="none"/>
                <w:lang w:val="en-US" w:eastAsia="zh-CN" w:bidi="ar"/>
              </w:rPr>
            </w:pPr>
            <w:r>
              <w:rPr>
                <w:rFonts w:hint="eastAsia" w:ascii="仿宋_GB2312" w:hAnsi="仿宋_GB2312" w:eastAsia="仿宋_GB2312" w:cs="仿宋_GB2312"/>
                <w:i w:val="0"/>
                <w:color w:val="auto"/>
                <w:kern w:val="0"/>
                <w:sz w:val="20"/>
                <w:szCs w:val="20"/>
                <w:highlight w:val="none"/>
                <w:u w:val="none"/>
                <w:lang w:val="en-US" w:eastAsia="zh-CN" w:bidi="ar"/>
              </w:rPr>
              <w:t>1</w:t>
            </w:r>
          </w:p>
        </w:tc>
        <w:tc>
          <w:tcPr>
            <w:tcW w:w="243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3BA5670F">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highlight w:val="none"/>
                <w:u w:val="none"/>
                <w:lang w:val="en-US" w:eastAsia="zh-CN" w:bidi="ar"/>
              </w:rPr>
            </w:pPr>
            <w:r>
              <w:rPr>
                <w:rFonts w:hint="eastAsia" w:ascii="仿宋_GB2312" w:hAnsi="仿宋_GB2312" w:eastAsia="仿宋_GB2312" w:cs="仿宋_GB2312"/>
                <w:i w:val="0"/>
                <w:color w:val="auto"/>
                <w:kern w:val="0"/>
                <w:sz w:val="20"/>
                <w:szCs w:val="20"/>
                <w:highlight w:val="none"/>
                <w:u w:val="none"/>
                <w:lang w:val="en-US" w:eastAsia="zh-CN" w:bidi="ar"/>
              </w:rPr>
              <w:t>上年度营收</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A3E148">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highlight w:val="none"/>
                <w:u w:val="none"/>
                <w:lang w:val="en-US" w:eastAsia="zh-CN" w:bidi="ar"/>
              </w:rPr>
            </w:pPr>
            <w:r>
              <w:rPr>
                <w:rFonts w:hint="eastAsia" w:ascii="仿宋_GB2312" w:hAnsi="仿宋_GB2312" w:eastAsia="仿宋_GB2312" w:cs="仿宋_GB2312"/>
                <w:i w:val="0"/>
                <w:color w:val="auto"/>
                <w:kern w:val="0"/>
                <w:sz w:val="20"/>
                <w:szCs w:val="20"/>
                <w:highlight w:val="none"/>
                <w:u w:val="none"/>
                <w:lang w:val="en-US" w:eastAsia="zh-CN" w:bidi="ar"/>
              </w:rPr>
              <w:t>5亿元以上（50分）</w:t>
            </w:r>
          </w:p>
          <w:p w14:paraId="07345646">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highlight w:val="none"/>
                <w:u w:val="none"/>
                <w:lang w:val="en-US" w:eastAsia="zh-CN" w:bidi="ar"/>
              </w:rPr>
            </w:pPr>
            <w:r>
              <w:rPr>
                <w:rFonts w:hint="eastAsia" w:ascii="仿宋_GB2312" w:hAnsi="仿宋_GB2312" w:eastAsia="仿宋_GB2312" w:cs="仿宋_GB2312"/>
                <w:i w:val="0"/>
                <w:color w:val="auto"/>
                <w:kern w:val="0"/>
                <w:sz w:val="20"/>
                <w:szCs w:val="20"/>
                <w:highlight w:val="none"/>
                <w:u w:val="none"/>
                <w:lang w:val="en-US" w:eastAsia="zh-CN" w:bidi="ar"/>
              </w:rPr>
              <w:t>1亿元-5亿元（40分）</w:t>
            </w:r>
          </w:p>
          <w:p w14:paraId="7BCD1256">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highlight w:val="none"/>
                <w:u w:val="none"/>
                <w:lang w:val="en-US" w:eastAsia="zh-CN" w:bidi="ar"/>
              </w:rPr>
            </w:pPr>
            <w:r>
              <w:rPr>
                <w:rFonts w:hint="eastAsia" w:ascii="仿宋_GB2312" w:hAnsi="仿宋_GB2312" w:eastAsia="仿宋_GB2312" w:cs="仿宋_GB2312"/>
                <w:i w:val="0"/>
                <w:color w:val="auto"/>
                <w:kern w:val="0"/>
                <w:sz w:val="20"/>
                <w:szCs w:val="20"/>
                <w:highlight w:val="none"/>
                <w:u w:val="none"/>
                <w:lang w:val="en-US" w:eastAsia="zh-CN" w:bidi="ar"/>
              </w:rPr>
              <w:t>5000万元-1亿元（30分）</w:t>
            </w:r>
          </w:p>
          <w:p w14:paraId="105AAE50">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highlight w:val="none"/>
                <w:u w:val="none"/>
                <w:lang w:val="en-US" w:eastAsia="zh-CN" w:bidi="ar"/>
              </w:rPr>
            </w:pPr>
            <w:r>
              <w:rPr>
                <w:rFonts w:hint="eastAsia" w:ascii="仿宋_GB2312" w:hAnsi="仿宋_GB2312" w:eastAsia="仿宋_GB2312" w:cs="仿宋_GB2312"/>
                <w:i w:val="0"/>
                <w:color w:val="auto"/>
                <w:kern w:val="0"/>
                <w:sz w:val="20"/>
                <w:szCs w:val="20"/>
                <w:highlight w:val="none"/>
                <w:u w:val="none"/>
                <w:lang w:val="en-US" w:eastAsia="zh-CN" w:bidi="ar"/>
              </w:rPr>
              <w:t>2000万元-5000万元</w:t>
            </w:r>
            <w:r>
              <w:rPr>
                <w:rFonts w:hint="eastAsia" w:ascii="仿宋_GB2312" w:hAnsi="仿宋_GB2312" w:cs="仿宋_GB2312"/>
                <w:i w:val="0"/>
                <w:color w:val="auto"/>
                <w:kern w:val="0"/>
                <w:sz w:val="20"/>
                <w:szCs w:val="20"/>
                <w:highlight w:val="none"/>
                <w:u w:val="none"/>
                <w:lang w:val="en-US" w:eastAsia="zh-CN" w:bidi="ar"/>
              </w:rPr>
              <w:t>（10</w:t>
            </w:r>
            <w:r>
              <w:rPr>
                <w:rFonts w:hint="eastAsia" w:ascii="仿宋_GB2312" w:hAnsi="仿宋_GB2312" w:eastAsia="仿宋_GB2312" w:cs="仿宋_GB2312"/>
                <w:i w:val="0"/>
                <w:color w:val="auto"/>
                <w:kern w:val="0"/>
                <w:sz w:val="20"/>
                <w:szCs w:val="20"/>
                <w:highlight w:val="none"/>
                <w:u w:val="none"/>
                <w:lang w:val="en-US" w:eastAsia="zh-CN" w:bidi="ar"/>
              </w:rPr>
              <w:t>分）</w:t>
            </w:r>
          </w:p>
          <w:p w14:paraId="3CE3516A">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highlight w:val="none"/>
                <w:u w:val="none"/>
                <w:lang w:val="en-US" w:eastAsia="zh-CN" w:bidi="ar"/>
              </w:rPr>
            </w:pPr>
            <w:r>
              <w:rPr>
                <w:rFonts w:hint="eastAsia" w:ascii="仿宋_GB2312" w:hAnsi="仿宋_GB2312" w:eastAsia="仿宋_GB2312" w:cs="仿宋_GB2312"/>
                <w:i w:val="0"/>
                <w:color w:val="auto"/>
                <w:kern w:val="0"/>
                <w:sz w:val="20"/>
                <w:szCs w:val="20"/>
                <w:highlight w:val="none"/>
                <w:u w:val="none"/>
                <w:lang w:val="en-US" w:eastAsia="zh-CN" w:bidi="ar"/>
              </w:rPr>
              <w:t>1000万元-2000万元（</w:t>
            </w:r>
            <w:r>
              <w:rPr>
                <w:rFonts w:hint="eastAsia" w:ascii="仿宋_GB2312" w:hAnsi="仿宋_GB2312" w:cs="仿宋_GB2312"/>
                <w:i w:val="0"/>
                <w:color w:val="auto"/>
                <w:kern w:val="0"/>
                <w:sz w:val="20"/>
                <w:szCs w:val="20"/>
                <w:highlight w:val="none"/>
                <w:u w:val="none"/>
                <w:lang w:val="en-US" w:eastAsia="zh-CN" w:bidi="ar"/>
              </w:rPr>
              <w:t>5</w:t>
            </w:r>
            <w:r>
              <w:rPr>
                <w:rFonts w:hint="eastAsia" w:ascii="仿宋_GB2312" w:hAnsi="仿宋_GB2312" w:eastAsia="仿宋_GB2312" w:cs="仿宋_GB2312"/>
                <w:i w:val="0"/>
                <w:color w:val="auto"/>
                <w:kern w:val="0"/>
                <w:sz w:val="20"/>
                <w:szCs w:val="20"/>
                <w:highlight w:val="none"/>
                <w:u w:val="none"/>
                <w:lang w:val="en-US" w:eastAsia="zh-CN" w:bidi="ar"/>
              </w:rPr>
              <w:t>分）</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6823C2">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highlight w:val="none"/>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DC5977">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highlight w:val="none"/>
                <w:u w:val="none"/>
                <w:lang w:val="en-US" w:eastAsia="zh-CN" w:bidi="ar"/>
              </w:rPr>
            </w:pPr>
          </w:p>
        </w:tc>
      </w:tr>
      <w:tr w14:paraId="0D2C0A7D">
        <w:tblPrEx>
          <w:tblCellMar>
            <w:top w:w="0" w:type="dxa"/>
            <w:left w:w="0" w:type="dxa"/>
            <w:bottom w:w="0" w:type="dxa"/>
            <w:right w:w="0" w:type="dxa"/>
          </w:tblCellMar>
        </w:tblPrEx>
        <w:trPr>
          <w:trHeight w:val="628" w:hRule="atLeast"/>
        </w:trPr>
        <w:tc>
          <w:tcPr>
            <w:tcW w:w="11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1CC052">
            <w:pPr>
              <w:keepNext w:val="0"/>
              <w:keepLines w:val="0"/>
              <w:widowControl/>
              <w:suppressLineNumbers w:val="0"/>
              <w:jc w:val="center"/>
              <w:textAlignment w:val="center"/>
              <w:rPr>
                <w:rFonts w:hint="default" w:ascii="仿宋_GB2312" w:hAnsi="仿宋_GB2312" w:eastAsia="仿宋_GB2312" w:cs="仿宋_GB2312"/>
                <w:i w:val="0"/>
                <w:color w:val="auto"/>
                <w:kern w:val="0"/>
                <w:sz w:val="20"/>
                <w:szCs w:val="20"/>
                <w:highlight w:val="none"/>
                <w:u w:val="none"/>
                <w:lang w:val="en-US" w:eastAsia="zh-CN" w:bidi="ar"/>
              </w:rPr>
            </w:pPr>
            <w:r>
              <w:rPr>
                <w:rFonts w:hint="eastAsia" w:ascii="仿宋_GB2312" w:hAnsi="仿宋_GB2312" w:eastAsia="仿宋_GB2312" w:cs="仿宋_GB2312"/>
                <w:i w:val="0"/>
                <w:color w:val="auto"/>
                <w:kern w:val="0"/>
                <w:sz w:val="20"/>
                <w:szCs w:val="20"/>
                <w:highlight w:val="none"/>
                <w:u w:val="none"/>
                <w:lang w:val="en-US" w:eastAsia="zh-CN" w:bidi="ar"/>
              </w:rPr>
              <w:t>2</w:t>
            </w:r>
          </w:p>
        </w:tc>
        <w:tc>
          <w:tcPr>
            <w:tcW w:w="24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2B945B">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highlight w:val="none"/>
                <w:u w:val="none"/>
                <w:lang w:val="en-US" w:eastAsia="zh-CN" w:bidi="ar"/>
              </w:rPr>
            </w:pPr>
            <w:r>
              <w:rPr>
                <w:rFonts w:hint="eastAsia" w:ascii="仿宋_GB2312" w:hAnsi="仿宋_GB2312" w:eastAsia="仿宋_GB2312" w:cs="仿宋_GB2312"/>
                <w:i w:val="0"/>
                <w:color w:val="auto"/>
                <w:kern w:val="0"/>
                <w:sz w:val="20"/>
                <w:szCs w:val="20"/>
                <w:highlight w:val="none"/>
                <w:u w:val="none"/>
                <w:lang w:val="en-US" w:eastAsia="zh-CN" w:bidi="ar"/>
              </w:rPr>
              <w:t>是否入选为小微企业劳动关系事务托管服务机构</w:t>
            </w:r>
          </w:p>
        </w:tc>
        <w:tc>
          <w:tcPr>
            <w:tcW w:w="28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F5C3EB">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highlight w:val="none"/>
                <w:u w:val="none"/>
                <w:lang w:val="en-US" w:eastAsia="zh-CN" w:bidi="ar"/>
              </w:rPr>
            </w:pPr>
            <w:r>
              <w:rPr>
                <w:rFonts w:hint="eastAsia" w:ascii="仿宋_GB2312" w:hAnsi="仿宋_GB2312" w:eastAsia="仿宋_GB2312" w:cs="仿宋_GB2312"/>
                <w:i w:val="0"/>
                <w:color w:val="auto"/>
                <w:kern w:val="0"/>
                <w:sz w:val="20"/>
                <w:szCs w:val="20"/>
                <w:highlight w:val="none"/>
                <w:u w:val="none"/>
                <w:lang w:val="en-US" w:eastAsia="zh-CN" w:bidi="ar"/>
              </w:rPr>
              <w:t>是（</w:t>
            </w:r>
            <w:r>
              <w:rPr>
                <w:rFonts w:hint="eastAsia" w:ascii="仿宋_GB2312" w:hAnsi="仿宋_GB2312" w:cs="仿宋_GB2312"/>
                <w:i w:val="0"/>
                <w:color w:val="auto"/>
                <w:kern w:val="0"/>
                <w:sz w:val="20"/>
                <w:szCs w:val="20"/>
                <w:highlight w:val="none"/>
                <w:u w:val="none"/>
                <w:lang w:val="en-US" w:eastAsia="zh-CN" w:bidi="ar"/>
              </w:rPr>
              <w:t>1</w:t>
            </w:r>
            <w:r>
              <w:rPr>
                <w:rFonts w:hint="eastAsia" w:ascii="仿宋_GB2312" w:hAnsi="仿宋_GB2312" w:eastAsia="仿宋_GB2312" w:cs="仿宋_GB2312"/>
                <w:i w:val="0"/>
                <w:color w:val="auto"/>
                <w:kern w:val="0"/>
                <w:sz w:val="20"/>
                <w:szCs w:val="20"/>
                <w:highlight w:val="none"/>
                <w:u w:val="none"/>
                <w:lang w:val="en-US" w:eastAsia="zh-CN" w:bidi="ar"/>
              </w:rPr>
              <w:t>0分）</w:t>
            </w:r>
          </w:p>
          <w:p w14:paraId="3C6C8767">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highlight w:val="none"/>
                <w:u w:val="none"/>
                <w:lang w:val="en-US" w:eastAsia="zh-CN" w:bidi="ar"/>
              </w:rPr>
            </w:pPr>
            <w:r>
              <w:rPr>
                <w:rFonts w:hint="eastAsia" w:ascii="仿宋_GB2312" w:hAnsi="仿宋_GB2312" w:eastAsia="仿宋_GB2312" w:cs="仿宋_GB2312"/>
                <w:i w:val="0"/>
                <w:color w:val="auto"/>
                <w:kern w:val="0"/>
                <w:sz w:val="20"/>
                <w:szCs w:val="20"/>
                <w:highlight w:val="none"/>
                <w:u w:val="none"/>
                <w:lang w:val="en-US" w:eastAsia="zh-CN" w:bidi="ar"/>
              </w:rPr>
              <w:t>否（0分）</w:t>
            </w:r>
          </w:p>
        </w:tc>
        <w:tc>
          <w:tcPr>
            <w:tcW w:w="15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21DD53">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highlight w:val="none"/>
                <w:u w:val="none"/>
                <w:lang w:val="en-US" w:eastAsia="zh-CN" w:bidi="ar"/>
              </w:rPr>
            </w:pPr>
          </w:p>
        </w:tc>
        <w:tc>
          <w:tcPr>
            <w:tcW w:w="101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E7F6E7">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highlight w:val="none"/>
                <w:u w:val="none"/>
                <w:lang w:val="en-US" w:eastAsia="zh-CN" w:bidi="ar"/>
              </w:rPr>
            </w:pPr>
          </w:p>
        </w:tc>
      </w:tr>
      <w:tr w14:paraId="1C8A3CC5">
        <w:tblPrEx>
          <w:tblCellMar>
            <w:top w:w="0" w:type="dxa"/>
            <w:left w:w="0" w:type="dxa"/>
            <w:bottom w:w="0" w:type="dxa"/>
            <w:right w:w="0" w:type="dxa"/>
          </w:tblCellMar>
        </w:tblPrEx>
        <w:trPr>
          <w:trHeight w:val="599" w:hRule="atLeast"/>
        </w:trPr>
        <w:tc>
          <w:tcPr>
            <w:tcW w:w="11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18505C">
            <w:pPr>
              <w:keepNext w:val="0"/>
              <w:keepLines w:val="0"/>
              <w:widowControl/>
              <w:suppressLineNumbers w:val="0"/>
              <w:jc w:val="center"/>
              <w:textAlignment w:val="center"/>
              <w:rPr>
                <w:rFonts w:hint="default" w:ascii="仿宋_GB2312" w:hAnsi="仿宋_GB2312" w:eastAsia="仿宋_GB2312" w:cs="仿宋_GB2312"/>
                <w:i w:val="0"/>
                <w:color w:val="auto"/>
                <w:kern w:val="0"/>
                <w:sz w:val="20"/>
                <w:szCs w:val="20"/>
                <w:highlight w:val="none"/>
                <w:u w:val="none"/>
                <w:lang w:val="en-US" w:eastAsia="zh-CN" w:bidi="ar"/>
              </w:rPr>
            </w:pPr>
            <w:r>
              <w:rPr>
                <w:rFonts w:hint="eastAsia" w:ascii="仿宋_GB2312" w:hAnsi="仿宋_GB2312" w:eastAsia="仿宋_GB2312" w:cs="仿宋_GB2312"/>
                <w:i w:val="0"/>
                <w:color w:val="auto"/>
                <w:kern w:val="0"/>
                <w:sz w:val="20"/>
                <w:szCs w:val="20"/>
                <w:highlight w:val="none"/>
                <w:u w:val="none"/>
                <w:lang w:val="en-US" w:eastAsia="zh-CN" w:bidi="ar"/>
              </w:rPr>
              <w:t>3</w:t>
            </w:r>
          </w:p>
        </w:tc>
        <w:tc>
          <w:tcPr>
            <w:tcW w:w="24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C3E8EF">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highlight w:val="none"/>
                <w:u w:val="none"/>
                <w:lang w:val="en-US" w:eastAsia="zh-CN" w:bidi="ar"/>
              </w:rPr>
            </w:pPr>
            <w:r>
              <w:rPr>
                <w:rFonts w:hint="eastAsia" w:ascii="仿宋_GB2312" w:hAnsi="仿宋_GB2312" w:eastAsia="仿宋_GB2312" w:cs="仿宋_GB2312"/>
                <w:i w:val="0"/>
                <w:color w:val="auto"/>
                <w:kern w:val="0"/>
                <w:sz w:val="20"/>
                <w:szCs w:val="20"/>
                <w:highlight w:val="none"/>
                <w:u w:val="none"/>
                <w:lang w:val="en-US" w:eastAsia="zh-CN" w:bidi="ar"/>
              </w:rPr>
              <w:t>是否入选为人才服务驿站专业机构</w:t>
            </w:r>
          </w:p>
        </w:tc>
        <w:tc>
          <w:tcPr>
            <w:tcW w:w="28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39D8AC">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highlight w:val="none"/>
                <w:u w:val="none"/>
                <w:lang w:val="en-US" w:eastAsia="zh-CN" w:bidi="ar"/>
              </w:rPr>
            </w:pPr>
            <w:r>
              <w:rPr>
                <w:rFonts w:hint="eastAsia" w:ascii="仿宋_GB2312" w:hAnsi="仿宋_GB2312" w:eastAsia="仿宋_GB2312" w:cs="仿宋_GB2312"/>
                <w:i w:val="0"/>
                <w:color w:val="auto"/>
                <w:kern w:val="0"/>
                <w:sz w:val="20"/>
                <w:szCs w:val="20"/>
                <w:highlight w:val="none"/>
                <w:u w:val="none"/>
                <w:lang w:val="en-US" w:eastAsia="zh-CN" w:bidi="ar"/>
              </w:rPr>
              <w:t>是（</w:t>
            </w:r>
            <w:r>
              <w:rPr>
                <w:rFonts w:hint="eastAsia" w:ascii="仿宋_GB2312" w:hAnsi="仿宋_GB2312" w:cs="仿宋_GB2312"/>
                <w:i w:val="0"/>
                <w:color w:val="auto"/>
                <w:kern w:val="0"/>
                <w:sz w:val="20"/>
                <w:szCs w:val="20"/>
                <w:highlight w:val="none"/>
                <w:u w:val="none"/>
                <w:lang w:val="en-US" w:eastAsia="zh-CN" w:bidi="ar"/>
              </w:rPr>
              <w:t>1</w:t>
            </w:r>
            <w:r>
              <w:rPr>
                <w:rFonts w:hint="eastAsia" w:ascii="仿宋_GB2312" w:hAnsi="仿宋_GB2312" w:eastAsia="仿宋_GB2312" w:cs="仿宋_GB2312"/>
                <w:i w:val="0"/>
                <w:color w:val="auto"/>
                <w:kern w:val="0"/>
                <w:sz w:val="20"/>
                <w:szCs w:val="20"/>
                <w:highlight w:val="none"/>
                <w:u w:val="none"/>
                <w:lang w:val="en-US" w:eastAsia="zh-CN" w:bidi="ar"/>
              </w:rPr>
              <w:t>0分）</w:t>
            </w:r>
          </w:p>
          <w:p w14:paraId="708CFF8A">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highlight w:val="none"/>
                <w:u w:val="none"/>
                <w:lang w:val="en-US" w:eastAsia="zh-CN" w:bidi="ar"/>
              </w:rPr>
            </w:pPr>
            <w:r>
              <w:rPr>
                <w:rFonts w:hint="eastAsia" w:ascii="仿宋_GB2312" w:hAnsi="仿宋_GB2312" w:eastAsia="仿宋_GB2312" w:cs="仿宋_GB2312"/>
                <w:i w:val="0"/>
                <w:color w:val="auto"/>
                <w:kern w:val="0"/>
                <w:sz w:val="20"/>
                <w:szCs w:val="20"/>
                <w:highlight w:val="none"/>
                <w:u w:val="none"/>
                <w:lang w:val="en-US" w:eastAsia="zh-CN" w:bidi="ar"/>
              </w:rPr>
              <w:t>否（0分）</w:t>
            </w:r>
          </w:p>
        </w:tc>
        <w:tc>
          <w:tcPr>
            <w:tcW w:w="15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21E01C">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highlight w:val="none"/>
                <w:u w:val="none"/>
                <w:lang w:val="en-US" w:eastAsia="zh-CN" w:bidi="ar"/>
              </w:rPr>
            </w:pPr>
          </w:p>
        </w:tc>
        <w:tc>
          <w:tcPr>
            <w:tcW w:w="101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173DA7">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highlight w:val="none"/>
                <w:u w:val="none"/>
                <w:lang w:val="en-US" w:eastAsia="zh-CN" w:bidi="ar"/>
              </w:rPr>
            </w:pPr>
          </w:p>
        </w:tc>
      </w:tr>
      <w:tr w14:paraId="5337A8BB">
        <w:tblPrEx>
          <w:tblCellMar>
            <w:top w:w="0" w:type="dxa"/>
            <w:left w:w="0" w:type="dxa"/>
            <w:bottom w:w="0" w:type="dxa"/>
            <w:right w:w="0" w:type="dxa"/>
          </w:tblCellMar>
        </w:tblPrEx>
        <w:trPr>
          <w:trHeight w:val="599" w:hRule="atLeast"/>
        </w:trPr>
        <w:tc>
          <w:tcPr>
            <w:tcW w:w="11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A8E574">
            <w:pPr>
              <w:keepNext w:val="0"/>
              <w:keepLines w:val="0"/>
              <w:widowControl/>
              <w:suppressLineNumbers w:val="0"/>
              <w:jc w:val="center"/>
              <w:textAlignment w:val="center"/>
              <w:rPr>
                <w:rFonts w:hint="default" w:ascii="仿宋_GB2312" w:hAnsi="仿宋_GB2312" w:eastAsia="仿宋_GB2312" w:cs="仿宋_GB2312"/>
                <w:i w:val="0"/>
                <w:color w:val="auto"/>
                <w:kern w:val="0"/>
                <w:sz w:val="20"/>
                <w:szCs w:val="20"/>
                <w:highlight w:val="none"/>
                <w:u w:val="none"/>
                <w:lang w:val="en-US" w:eastAsia="zh-CN" w:bidi="ar"/>
              </w:rPr>
            </w:pPr>
            <w:r>
              <w:rPr>
                <w:rFonts w:hint="eastAsia" w:ascii="仿宋_GB2312" w:hAnsi="仿宋_GB2312" w:eastAsia="仿宋_GB2312" w:cs="仿宋_GB2312"/>
                <w:i w:val="0"/>
                <w:color w:val="auto"/>
                <w:kern w:val="0"/>
                <w:sz w:val="20"/>
                <w:szCs w:val="20"/>
                <w:highlight w:val="none"/>
                <w:u w:val="none"/>
                <w:lang w:val="en-US" w:eastAsia="zh-CN" w:bidi="ar"/>
              </w:rPr>
              <w:t>4</w:t>
            </w:r>
          </w:p>
        </w:tc>
        <w:tc>
          <w:tcPr>
            <w:tcW w:w="24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81470A">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highlight w:val="none"/>
                <w:u w:val="none"/>
                <w:lang w:val="en-US" w:eastAsia="zh-CN" w:bidi="ar"/>
              </w:rPr>
            </w:pPr>
            <w:r>
              <w:rPr>
                <w:rFonts w:hint="eastAsia" w:ascii="仿宋_GB2312" w:hAnsi="仿宋_GB2312" w:eastAsia="仿宋_GB2312" w:cs="仿宋_GB2312"/>
                <w:i w:val="0"/>
                <w:color w:val="auto"/>
                <w:kern w:val="0"/>
                <w:sz w:val="20"/>
                <w:szCs w:val="20"/>
                <w:highlight w:val="none"/>
                <w:u w:val="none"/>
                <w:lang w:val="en-US" w:eastAsia="zh-CN" w:bidi="ar"/>
              </w:rPr>
              <w:t>营收增速</w:t>
            </w:r>
          </w:p>
          <w:p w14:paraId="77C1C3BD">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highlight w:val="none"/>
                <w:u w:val="none"/>
                <w:lang w:val="en-US" w:eastAsia="zh-CN" w:bidi="ar"/>
              </w:rPr>
            </w:pPr>
            <w:r>
              <w:rPr>
                <w:rFonts w:hint="eastAsia" w:ascii="仿宋_GB2312" w:hAnsi="仿宋_GB2312" w:eastAsia="仿宋_GB2312" w:cs="仿宋_GB2312"/>
                <w:i w:val="0"/>
                <w:color w:val="auto"/>
                <w:kern w:val="0"/>
                <w:sz w:val="20"/>
                <w:szCs w:val="20"/>
                <w:highlight w:val="none"/>
                <w:u w:val="none"/>
                <w:lang w:val="en-US" w:eastAsia="zh-CN" w:bidi="ar"/>
              </w:rPr>
              <w:t>（截止到申报日期）</w:t>
            </w:r>
          </w:p>
        </w:tc>
        <w:tc>
          <w:tcPr>
            <w:tcW w:w="28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142B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0"/>
                <w:szCs w:val="20"/>
                <w:highlight w:val="none"/>
                <w:u w:val="none"/>
                <w:lang w:val="en-US" w:eastAsia="zh-CN" w:bidi="ar"/>
              </w:rPr>
            </w:pPr>
            <w:r>
              <w:rPr>
                <w:rFonts w:hint="eastAsia" w:ascii="仿宋_GB2312" w:hAnsi="仿宋_GB2312" w:eastAsia="仿宋_GB2312" w:cs="仿宋_GB2312"/>
                <w:i w:val="0"/>
                <w:color w:val="auto"/>
                <w:kern w:val="0"/>
                <w:sz w:val="20"/>
                <w:szCs w:val="20"/>
                <w:highlight w:val="none"/>
                <w:u w:val="none"/>
                <w:lang w:val="en-US" w:eastAsia="zh-CN" w:bidi="ar"/>
              </w:rPr>
              <w:t>101%以上（</w:t>
            </w:r>
            <w:r>
              <w:rPr>
                <w:rFonts w:hint="eastAsia" w:ascii="仿宋_GB2312" w:hAnsi="仿宋_GB2312" w:cs="仿宋_GB2312"/>
                <w:i w:val="0"/>
                <w:color w:val="auto"/>
                <w:kern w:val="0"/>
                <w:sz w:val="20"/>
                <w:szCs w:val="20"/>
                <w:highlight w:val="none"/>
                <w:u w:val="none"/>
                <w:lang w:val="en-US" w:eastAsia="zh-CN" w:bidi="ar"/>
              </w:rPr>
              <w:t>2</w:t>
            </w:r>
            <w:r>
              <w:rPr>
                <w:rFonts w:hint="eastAsia" w:ascii="仿宋_GB2312" w:hAnsi="仿宋_GB2312" w:eastAsia="仿宋_GB2312" w:cs="仿宋_GB2312"/>
                <w:i w:val="0"/>
                <w:color w:val="auto"/>
                <w:kern w:val="0"/>
                <w:sz w:val="20"/>
                <w:szCs w:val="20"/>
                <w:highlight w:val="none"/>
                <w:u w:val="none"/>
                <w:lang w:val="en-US" w:eastAsia="zh-CN" w:bidi="ar"/>
              </w:rPr>
              <w:t>0分）</w:t>
            </w:r>
          </w:p>
          <w:p w14:paraId="4D2A5A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0"/>
                <w:szCs w:val="20"/>
                <w:highlight w:val="none"/>
                <w:u w:val="none"/>
                <w:lang w:val="en-US" w:eastAsia="zh-CN" w:bidi="ar"/>
              </w:rPr>
            </w:pPr>
            <w:r>
              <w:rPr>
                <w:rFonts w:hint="eastAsia" w:ascii="仿宋_GB2312" w:hAnsi="仿宋_GB2312" w:eastAsia="仿宋_GB2312" w:cs="仿宋_GB2312"/>
                <w:i w:val="0"/>
                <w:color w:val="auto"/>
                <w:kern w:val="0"/>
                <w:sz w:val="20"/>
                <w:szCs w:val="20"/>
                <w:highlight w:val="none"/>
                <w:u w:val="none"/>
                <w:lang w:val="en-US" w:eastAsia="zh-CN" w:bidi="ar"/>
              </w:rPr>
              <w:t>51%-100%（</w:t>
            </w:r>
            <w:r>
              <w:rPr>
                <w:rFonts w:hint="eastAsia" w:ascii="仿宋_GB2312" w:hAnsi="仿宋_GB2312" w:cs="仿宋_GB2312"/>
                <w:i w:val="0"/>
                <w:color w:val="auto"/>
                <w:kern w:val="0"/>
                <w:sz w:val="20"/>
                <w:szCs w:val="20"/>
                <w:highlight w:val="none"/>
                <w:u w:val="none"/>
                <w:lang w:val="en-US" w:eastAsia="zh-CN" w:bidi="ar"/>
              </w:rPr>
              <w:t>15</w:t>
            </w:r>
            <w:r>
              <w:rPr>
                <w:rFonts w:hint="eastAsia" w:ascii="仿宋_GB2312" w:hAnsi="仿宋_GB2312" w:eastAsia="仿宋_GB2312" w:cs="仿宋_GB2312"/>
                <w:i w:val="0"/>
                <w:color w:val="auto"/>
                <w:kern w:val="0"/>
                <w:sz w:val="20"/>
                <w:szCs w:val="20"/>
                <w:highlight w:val="none"/>
                <w:u w:val="none"/>
                <w:lang w:val="en-US" w:eastAsia="zh-CN" w:bidi="ar"/>
              </w:rPr>
              <w:t>分）</w:t>
            </w:r>
          </w:p>
          <w:p w14:paraId="7FFA98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0"/>
                <w:szCs w:val="20"/>
                <w:highlight w:val="none"/>
                <w:u w:val="none"/>
                <w:lang w:val="en-US" w:eastAsia="zh-CN" w:bidi="ar"/>
              </w:rPr>
            </w:pPr>
            <w:r>
              <w:rPr>
                <w:rFonts w:hint="eastAsia" w:ascii="仿宋_GB2312" w:hAnsi="仿宋_GB2312" w:eastAsia="仿宋_GB2312" w:cs="仿宋_GB2312"/>
                <w:i w:val="0"/>
                <w:color w:val="auto"/>
                <w:kern w:val="0"/>
                <w:sz w:val="20"/>
                <w:szCs w:val="20"/>
                <w:highlight w:val="none"/>
                <w:u w:val="none"/>
                <w:lang w:val="en-US" w:eastAsia="zh-CN" w:bidi="ar"/>
              </w:rPr>
              <w:t>21%-50%（</w:t>
            </w:r>
            <w:r>
              <w:rPr>
                <w:rFonts w:hint="eastAsia" w:ascii="仿宋_GB2312" w:hAnsi="仿宋_GB2312" w:cs="仿宋_GB2312"/>
                <w:i w:val="0"/>
                <w:color w:val="auto"/>
                <w:kern w:val="0"/>
                <w:sz w:val="20"/>
                <w:szCs w:val="20"/>
                <w:highlight w:val="none"/>
                <w:u w:val="none"/>
                <w:lang w:val="en-US" w:eastAsia="zh-CN" w:bidi="ar"/>
              </w:rPr>
              <w:t>10</w:t>
            </w:r>
            <w:r>
              <w:rPr>
                <w:rFonts w:hint="eastAsia" w:ascii="仿宋_GB2312" w:hAnsi="仿宋_GB2312" w:eastAsia="仿宋_GB2312" w:cs="仿宋_GB2312"/>
                <w:i w:val="0"/>
                <w:color w:val="auto"/>
                <w:kern w:val="0"/>
                <w:sz w:val="20"/>
                <w:szCs w:val="20"/>
                <w:highlight w:val="none"/>
                <w:u w:val="none"/>
                <w:lang w:val="en-US" w:eastAsia="zh-CN" w:bidi="ar"/>
              </w:rPr>
              <w:t>分）</w:t>
            </w:r>
          </w:p>
          <w:p w14:paraId="5FB868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0"/>
                <w:szCs w:val="20"/>
                <w:highlight w:val="none"/>
                <w:u w:val="none"/>
                <w:lang w:val="en-US" w:eastAsia="zh-CN" w:bidi="ar"/>
              </w:rPr>
            </w:pPr>
            <w:r>
              <w:rPr>
                <w:rFonts w:hint="eastAsia" w:ascii="仿宋_GB2312" w:hAnsi="仿宋_GB2312" w:eastAsia="仿宋_GB2312" w:cs="仿宋_GB2312"/>
                <w:i w:val="0"/>
                <w:color w:val="auto"/>
                <w:kern w:val="0"/>
                <w:sz w:val="20"/>
                <w:szCs w:val="20"/>
                <w:highlight w:val="none"/>
                <w:u w:val="none"/>
                <w:lang w:val="en-US" w:eastAsia="zh-CN" w:bidi="ar"/>
              </w:rPr>
              <w:t>0-20%（</w:t>
            </w:r>
            <w:r>
              <w:rPr>
                <w:rFonts w:hint="eastAsia" w:ascii="仿宋_GB2312" w:hAnsi="仿宋_GB2312" w:cs="仿宋_GB2312"/>
                <w:i w:val="0"/>
                <w:color w:val="auto"/>
                <w:kern w:val="0"/>
                <w:sz w:val="20"/>
                <w:szCs w:val="20"/>
                <w:highlight w:val="none"/>
                <w:u w:val="none"/>
                <w:lang w:val="en-US" w:eastAsia="zh-CN" w:bidi="ar"/>
              </w:rPr>
              <w:t>5</w:t>
            </w:r>
            <w:r>
              <w:rPr>
                <w:rFonts w:hint="eastAsia" w:ascii="仿宋_GB2312" w:hAnsi="仿宋_GB2312" w:eastAsia="仿宋_GB2312" w:cs="仿宋_GB2312"/>
                <w:i w:val="0"/>
                <w:color w:val="auto"/>
                <w:kern w:val="0"/>
                <w:sz w:val="20"/>
                <w:szCs w:val="20"/>
                <w:highlight w:val="none"/>
                <w:u w:val="none"/>
                <w:lang w:val="en-US" w:eastAsia="zh-CN" w:bidi="ar"/>
              </w:rPr>
              <w:t>分）</w:t>
            </w:r>
          </w:p>
        </w:tc>
        <w:tc>
          <w:tcPr>
            <w:tcW w:w="15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3A8E70">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highlight w:val="none"/>
                <w:u w:val="none"/>
                <w:lang w:val="en-US" w:eastAsia="zh-CN" w:bidi="ar"/>
              </w:rPr>
            </w:pPr>
          </w:p>
        </w:tc>
        <w:tc>
          <w:tcPr>
            <w:tcW w:w="101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CEB718">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highlight w:val="none"/>
                <w:u w:val="none"/>
                <w:lang w:val="en-US" w:eastAsia="zh-CN" w:bidi="ar"/>
              </w:rPr>
            </w:pPr>
          </w:p>
        </w:tc>
      </w:tr>
      <w:tr w14:paraId="1754A803">
        <w:tblPrEx>
          <w:tblCellMar>
            <w:top w:w="0" w:type="dxa"/>
            <w:left w:w="0" w:type="dxa"/>
            <w:bottom w:w="0" w:type="dxa"/>
            <w:right w:w="0" w:type="dxa"/>
          </w:tblCellMar>
        </w:tblPrEx>
        <w:trPr>
          <w:trHeight w:val="738" w:hRule="atLeast"/>
        </w:trPr>
        <w:tc>
          <w:tcPr>
            <w:tcW w:w="11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9E6712">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highlight w:val="none"/>
                <w:u w:val="none"/>
                <w:lang w:val="en-US" w:eastAsia="zh-CN" w:bidi="ar"/>
              </w:rPr>
            </w:pPr>
            <w:r>
              <w:rPr>
                <w:rFonts w:hint="eastAsia" w:ascii="仿宋_GB2312" w:hAnsi="仿宋_GB2312" w:eastAsia="仿宋_GB2312" w:cs="仿宋_GB2312"/>
                <w:i w:val="0"/>
                <w:color w:val="auto"/>
                <w:kern w:val="0"/>
                <w:sz w:val="20"/>
                <w:szCs w:val="20"/>
                <w:highlight w:val="none"/>
                <w:u w:val="none"/>
                <w:lang w:val="en-US" w:eastAsia="zh-CN" w:bidi="ar"/>
              </w:rPr>
              <w:t>5</w:t>
            </w:r>
          </w:p>
        </w:tc>
        <w:tc>
          <w:tcPr>
            <w:tcW w:w="24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141185">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i w:val="0"/>
                <w:color w:val="auto"/>
                <w:sz w:val="20"/>
                <w:szCs w:val="20"/>
                <w:highlight w:val="none"/>
                <w:u w:val="none"/>
                <w:shd w:val="clear" w:color="auto" w:fill="auto"/>
                <w:lang w:eastAsia="zh-CN"/>
              </w:rPr>
              <w:t>是否入驻中国广州人力资源服务产业园</w:t>
            </w:r>
          </w:p>
        </w:tc>
        <w:tc>
          <w:tcPr>
            <w:tcW w:w="28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CDC9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0"/>
                <w:szCs w:val="20"/>
                <w:highlight w:val="none"/>
                <w:u w:val="none"/>
                <w:lang w:val="en-US" w:eastAsia="zh-CN" w:bidi="ar"/>
              </w:rPr>
            </w:pPr>
            <w:r>
              <w:rPr>
                <w:rFonts w:hint="eastAsia" w:ascii="仿宋_GB2312" w:hAnsi="仿宋_GB2312" w:eastAsia="仿宋_GB2312" w:cs="仿宋_GB2312"/>
                <w:i w:val="0"/>
                <w:color w:val="auto"/>
                <w:kern w:val="0"/>
                <w:sz w:val="20"/>
                <w:szCs w:val="20"/>
                <w:highlight w:val="none"/>
                <w:u w:val="none"/>
                <w:lang w:val="en-US" w:eastAsia="zh-CN" w:bidi="ar"/>
              </w:rPr>
              <w:t>是（5分）</w:t>
            </w:r>
          </w:p>
          <w:p w14:paraId="72A3F7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0"/>
                <w:szCs w:val="20"/>
                <w:highlight w:val="none"/>
                <w:u w:val="none"/>
                <w:shd w:val="clear" w:color="auto" w:fill="auto"/>
                <w:lang w:val="en-US" w:eastAsia="zh-CN" w:bidi="ar"/>
              </w:rPr>
            </w:pPr>
            <w:r>
              <w:rPr>
                <w:rFonts w:hint="eastAsia" w:ascii="仿宋_GB2312" w:hAnsi="仿宋_GB2312" w:eastAsia="仿宋_GB2312" w:cs="仿宋_GB2312"/>
                <w:i w:val="0"/>
                <w:color w:val="auto"/>
                <w:kern w:val="0"/>
                <w:sz w:val="20"/>
                <w:szCs w:val="20"/>
                <w:highlight w:val="none"/>
                <w:u w:val="none"/>
                <w:lang w:val="en-US" w:eastAsia="zh-CN" w:bidi="ar"/>
              </w:rPr>
              <w:t>否（0分）</w:t>
            </w:r>
          </w:p>
        </w:tc>
        <w:tc>
          <w:tcPr>
            <w:tcW w:w="15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E5CCB0">
            <w:pPr>
              <w:jc w:val="center"/>
              <w:rPr>
                <w:rFonts w:hint="eastAsia" w:ascii="仿宋_GB2312" w:hAnsi="仿宋_GB2312" w:eastAsia="仿宋_GB2312" w:cs="仿宋_GB2312"/>
                <w:i w:val="0"/>
                <w:color w:val="auto"/>
                <w:kern w:val="0"/>
                <w:sz w:val="20"/>
                <w:szCs w:val="20"/>
                <w:highlight w:val="none"/>
                <w:u w:val="none"/>
                <w:shd w:val="clear" w:color="auto" w:fill="auto"/>
                <w:lang w:val="en-US" w:eastAsia="zh-CN" w:bidi="ar"/>
              </w:rPr>
            </w:pPr>
          </w:p>
        </w:tc>
        <w:tc>
          <w:tcPr>
            <w:tcW w:w="101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F4DCF3">
            <w:pPr>
              <w:jc w:val="center"/>
              <w:rPr>
                <w:rFonts w:hint="eastAsia" w:ascii="仿宋_GB2312" w:hAnsi="仿宋_GB2312" w:eastAsia="仿宋_GB2312" w:cs="仿宋_GB2312"/>
                <w:i w:val="0"/>
                <w:color w:val="auto"/>
                <w:kern w:val="0"/>
                <w:sz w:val="20"/>
                <w:szCs w:val="20"/>
                <w:highlight w:val="none"/>
                <w:u w:val="none"/>
                <w:shd w:val="clear" w:color="auto" w:fill="auto"/>
                <w:lang w:val="en-US" w:eastAsia="zh-CN" w:bidi="ar"/>
              </w:rPr>
            </w:pPr>
          </w:p>
        </w:tc>
      </w:tr>
      <w:tr w14:paraId="2E6AC831">
        <w:tblPrEx>
          <w:tblCellMar>
            <w:top w:w="0" w:type="dxa"/>
            <w:left w:w="0" w:type="dxa"/>
            <w:bottom w:w="0" w:type="dxa"/>
            <w:right w:w="0" w:type="dxa"/>
          </w:tblCellMar>
        </w:tblPrEx>
        <w:trPr>
          <w:trHeight w:val="647" w:hRule="atLeast"/>
        </w:trPr>
        <w:tc>
          <w:tcPr>
            <w:tcW w:w="11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B262AD">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highlight w:val="none"/>
                <w:u w:val="none"/>
                <w:lang w:val="en-US" w:eastAsia="zh-CN" w:bidi="ar"/>
              </w:rPr>
            </w:pPr>
            <w:r>
              <w:rPr>
                <w:rFonts w:hint="eastAsia" w:ascii="仿宋_GB2312" w:hAnsi="仿宋_GB2312" w:eastAsia="仿宋_GB2312" w:cs="仿宋_GB2312"/>
                <w:i w:val="0"/>
                <w:color w:val="auto"/>
                <w:kern w:val="0"/>
                <w:sz w:val="20"/>
                <w:szCs w:val="20"/>
                <w:highlight w:val="none"/>
                <w:u w:val="none"/>
                <w:lang w:val="en-US" w:eastAsia="zh-CN" w:bidi="ar"/>
              </w:rPr>
              <w:t>6</w:t>
            </w:r>
          </w:p>
        </w:tc>
        <w:tc>
          <w:tcPr>
            <w:tcW w:w="24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1E68D0">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highlight w:val="none"/>
                <w:u w:val="none"/>
                <w:shd w:val="clear" w:color="auto" w:fill="auto"/>
                <w:lang w:val="en-US" w:eastAsia="zh-CN" w:bidi="ar"/>
              </w:rPr>
            </w:pPr>
            <w:r>
              <w:rPr>
                <w:rFonts w:hint="eastAsia" w:ascii="仿宋_GB2312" w:hAnsi="仿宋_GB2312" w:eastAsia="仿宋_GB2312" w:cs="仿宋_GB2312"/>
                <w:i w:val="0"/>
                <w:color w:val="auto"/>
                <w:sz w:val="20"/>
                <w:szCs w:val="20"/>
                <w:highlight w:val="none"/>
                <w:u w:val="none"/>
                <w:shd w:val="clear" w:color="auto" w:fill="auto"/>
                <w:lang w:val="en-US" w:eastAsia="zh-CN"/>
              </w:rPr>
              <w:t>是否配合开展日常消防安全和相关统计工作</w:t>
            </w:r>
          </w:p>
        </w:tc>
        <w:tc>
          <w:tcPr>
            <w:tcW w:w="28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CDD8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0"/>
                <w:szCs w:val="20"/>
                <w:highlight w:val="none"/>
                <w:u w:val="none"/>
                <w:lang w:val="en-US" w:eastAsia="zh-CN" w:bidi="ar"/>
              </w:rPr>
            </w:pPr>
            <w:r>
              <w:rPr>
                <w:rFonts w:hint="eastAsia" w:ascii="仿宋_GB2312" w:hAnsi="仿宋_GB2312" w:eastAsia="仿宋_GB2312" w:cs="仿宋_GB2312"/>
                <w:i w:val="0"/>
                <w:color w:val="auto"/>
                <w:kern w:val="0"/>
                <w:sz w:val="20"/>
                <w:szCs w:val="20"/>
                <w:highlight w:val="none"/>
                <w:u w:val="none"/>
                <w:lang w:val="en-US" w:eastAsia="zh-CN" w:bidi="ar"/>
              </w:rPr>
              <w:t>是（5分）</w:t>
            </w:r>
          </w:p>
          <w:p w14:paraId="09ACEC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0"/>
                <w:szCs w:val="20"/>
                <w:highlight w:val="none"/>
                <w:u w:val="none"/>
                <w:shd w:val="clear" w:color="auto" w:fill="auto"/>
                <w:lang w:val="en-US" w:eastAsia="zh-CN" w:bidi="ar"/>
              </w:rPr>
            </w:pPr>
            <w:r>
              <w:rPr>
                <w:rFonts w:hint="eastAsia" w:ascii="仿宋_GB2312" w:hAnsi="仿宋_GB2312" w:eastAsia="仿宋_GB2312" w:cs="仿宋_GB2312"/>
                <w:i w:val="0"/>
                <w:color w:val="auto"/>
                <w:kern w:val="0"/>
                <w:sz w:val="20"/>
                <w:szCs w:val="20"/>
                <w:highlight w:val="none"/>
                <w:u w:val="none"/>
                <w:lang w:val="en-US" w:eastAsia="zh-CN" w:bidi="ar"/>
              </w:rPr>
              <w:t>否（0分）</w:t>
            </w:r>
          </w:p>
        </w:tc>
        <w:tc>
          <w:tcPr>
            <w:tcW w:w="15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A0CD82">
            <w:pPr>
              <w:jc w:val="center"/>
              <w:rPr>
                <w:rFonts w:hint="eastAsia" w:ascii="仿宋_GB2312" w:hAnsi="仿宋_GB2312" w:eastAsia="仿宋_GB2312" w:cs="仿宋_GB2312"/>
                <w:i w:val="0"/>
                <w:color w:val="auto"/>
                <w:kern w:val="0"/>
                <w:sz w:val="20"/>
                <w:szCs w:val="20"/>
                <w:highlight w:val="none"/>
                <w:u w:val="none"/>
                <w:shd w:val="clear" w:color="auto" w:fill="auto"/>
                <w:lang w:val="en-US" w:eastAsia="zh-CN" w:bidi="ar"/>
              </w:rPr>
            </w:pPr>
          </w:p>
        </w:tc>
        <w:tc>
          <w:tcPr>
            <w:tcW w:w="101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A1BF79">
            <w:pPr>
              <w:jc w:val="center"/>
              <w:rPr>
                <w:rFonts w:hint="eastAsia" w:ascii="仿宋_GB2312" w:hAnsi="仿宋_GB2312" w:eastAsia="仿宋_GB2312" w:cs="仿宋_GB2312"/>
                <w:i w:val="0"/>
                <w:color w:val="auto"/>
                <w:kern w:val="0"/>
                <w:sz w:val="20"/>
                <w:szCs w:val="20"/>
                <w:highlight w:val="none"/>
                <w:u w:val="none"/>
                <w:shd w:val="clear" w:color="auto" w:fill="auto"/>
                <w:lang w:val="en-US" w:eastAsia="zh-CN" w:bidi="ar"/>
              </w:rPr>
            </w:pPr>
          </w:p>
        </w:tc>
      </w:tr>
      <w:tr w14:paraId="2F3B5539">
        <w:tblPrEx>
          <w:tblCellMar>
            <w:top w:w="0" w:type="dxa"/>
            <w:left w:w="0" w:type="dxa"/>
            <w:bottom w:w="0" w:type="dxa"/>
            <w:right w:w="0" w:type="dxa"/>
          </w:tblCellMar>
        </w:tblPrEx>
        <w:trPr>
          <w:trHeight w:val="545" w:hRule="atLeast"/>
        </w:trPr>
        <w:tc>
          <w:tcPr>
            <w:tcW w:w="6431" w:type="dxa"/>
            <w:gridSpan w:val="3"/>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0AEB6AAC">
            <w:pPr>
              <w:keepNext w:val="0"/>
              <w:keepLines w:val="0"/>
              <w:widowControl/>
              <w:suppressLineNumbers w:val="0"/>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合计（分）</w:t>
            </w:r>
          </w:p>
        </w:tc>
        <w:tc>
          <w:tcPr>
            <w:tcW w:w="2593" w:type="dxa"/>
            <w:gridSpan w:val="2"/>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081DEF38">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highlight w:val="none"/>
                <w:u w:val="none"/>
                <w:lang w:val="en-US" w:eastAsia="zh-CN" w:bidi="ar"/>
              </w:rPr>
            </w:pPr>
          </w:p>
        </w:tc>
      </w:tr>
      <w:tr w14:paraId="1183932E">
        <w:tblPrEx>
          <w:tblCellMar>
            <w:top w:w="0" w:type="dxa"/>
            <w:left w:w="0" w:type="dxa"/>
            <w:bottom w:w="0" w:type="dxa"/>
            <w:right w:w="0" w:type="dxa"/>
          </w:tblCellMar>
        </w:tblPrEx>
        <w:trPr>
          <w:trHeight w:val="360" w:hRule="atLeast"/>
        </w:trPr>
        <w:tc>
          <w:tcPr>
            <w:tcW w:w="902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2139F4">
            <w:pPr>
              <w:keepNext w:val="0"/>
              <w:keepLines w:val="0"/>
              <w:pageBreakBefore w:val="0"/>
              <w:widowControl/>
              <w:suppressLineNumbers w:val="0"/>
              <w:kinsoku/>
              <w:wordWrap/>
              <w:overflowPunct/>
              <w:topLinePunct w:val="0"/>
              <w:autoSpaceDE/>
              <w:autoSpaceDN/>
              <w:bidi w:val="0"/>
              <w:adjustRightInd/>
              <w:snapToGrid/>
              <w:spacing w:after="200" w:afterAutospacing="0" w:line="240" w:lineRule="atLeast"/>
              <w:jc w:val="left"/>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申报单位：                申报人：                  申报人联系方式：</w:t>
            </w:r>
          </w:p>
        </w:tc>
      </w:tr>
      <w:tr w14:paraId="130E6887">
        <w:tblPrEx>
          <w:tblCellMar>
            <w:top w:w="0" w:type="dxa"/>
            <w:left w:w="0" w:type="dxa"/>
            <w:bottom w:w="0" w:type="dxa"/>
            <w:right w:w="0" w:type="dxa"/>
          </w:tblCellMar>
        </w:tblPrEx>
        <w:trPr>
          <w:trHeight w:val="3847" w:hRule="atLeast"/>
        </w:trPr>
        <w:tc>
          <w:tcPr>
            <w:tcW w:w="902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CB3D54">
            <w:pPr>
              <w:keepNext w:val="0"/>
              <w:keepLines w:val="0"/>
              <w:widowControl/>
              <w:suppressLineNumbers w:val="0"/>
              <w:spacing w:line="240" w:lineRule="auto"/>
              <w:jc w:val="left"/>
              <w:textAlignment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填报说明：</w:t>
            </w:r>
          </w:p>
          <w:p w14:paraId="471BE2BA">
            <w:pPr>
              <w:keepNext w:val="0"/>
              <w:keepLines w:val="0"/>
              <w:widowControl/>
              <w:suppressLineNumbers w:val="0"/>
              <w:spacing w:line="240" w:lineRule="auto"/>
              <w:jc w:val="left"/>
              <w:textAlignment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w:t>
            </w:r>
            <w:r>
              <w:rPr>
                <w:rFonts w:hint="eastAsia" w:ascii="仿宋_GB2312" w:hAnsi="仿宋_GB2312" w:cs="仿宋_GB2312"/>
                <w:color w:val="auto"/>
                <w:sz w:val="20"/>
                <w:szCs w:val="20"/>
                <w:highlight w:val="none"/>
                <w:lang w:val="en-US" w:eastAsia="zh-CN"/>
              </w:rPr>
              <w:t>1</w:t>
            </w:r>
            <w:r>
              <w:rPr>
                <w:rFonts w:hint="eastAsia" w:ascii="仿宋_GB2312" w:hAnsi="仿宋_GB2312" w:eastAsia="仿宋_GB2312" w:cs="仿宋_GB2312"/>
                <w:color w:val="auto"/>
                <w:sz w:val="20"/>
                <w:szCs w:val="20"/>
                <w:highlight w:val="none"/>
                <w:lang w:val="en-US" w:eastAsia="zh-CN"/>
              </w:rPr>
              <w:t>）在同一项目中，企业同时符合多项加分条件的，填写得分最高项；</w:t>
            </w:r>
          </w:p>
          <w:p w14:paraId="333D99D4">
            <w:pPr>
              <w:keepNext w:val="0"/>
              <w:keepLines w:val="0"/>
              <w:widowControl/>
              <w:suppressLineNumbers w:val="0"/>
              <w:spacing w:line="240" w:lineRule="auto"/>
              <w:jc w:val="left"/>
              <w:textAlignment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w:t>
            </w:r>
            <w:r>
              <w:rPr>
                <w:rFonts w:hint="eastAsia" w:ascii="仿宋_GB2312" w:hAnsi="仿宋_GB2312" w:cs="仿宋_GB2312"/>
                <w:color w:val="auto"/>
                <w:sz w:val="20"/>
                <w:szCs w:val="20"/>
                <w:highlight w:val="none"/>
                <w:lang w:val="en-US" w:eastAsia="zh-CN"/>
              </w:rPr>
              <w:t>2</w:t>
            </w:r>
            <w:r>
              <w:rPr>
                <w:rFonts w:hint="eastAsia" w:ascii="仿宋_GB2312" w:hAnsi="仿宋_GB2312" w:eastAsia="仿宋_GB2312" w:cs="仿宋_GB2312"/>
                <w:color w:val="auto"/>
                <w:sz w:val="20"/>
                <w:szCs w:val="20"/>
                <w:highlight w:val="none"/>
                <w:lang w:val="en-US" w:eastAsia="zh-CN"/>
              </w:rPr>
              <w:t>）</w:t>
            </w:r>
            <w:r>
              <w:rPr>
                <w:rFonts w:hint="eastAsia" w:ascii="仿宋_GB2312" w:hAnsi="仿宋_GB2312" w:cs="仿宋_GB2312"/>
                <w:color w:val="auto"/>
                <w:sz w:val="20"/>
                <w:szCs w:val="20"/>
                <w:highlight w:val="none"/>
                <w:lang w:val="en-US" w:eastAsia="zh-CN"/>
              </w:rPr>
              <w:t>规上</w:t>
            </w:r>
            <w:r>
              <w:rPr>
                <w:rFonts w:hint="eastAsia" w:ascii="仿宋_GB2312" w:hAnsi="仿宋_GB2312" w:eastAsia="仿宋_GB2312" w:cs="仿宋_GB2312"/>
                <w:color w:val="auto"/>
                <w:sz w:val="20"/>
                <w:szCs w:val="20"/>
                <w:highlight w:val="none"/>
                <w:lang w:val="en-US" w:eastAsia="zh-CN"/>
              </w:rPr>
              <w:t>企业营收</w:t>
            </w:r>
            <w:r>
              <w:rPr>
                <w:rFonts w:hint="eastAsia" w:ascii="仿宋_GB2312" w:hAnsi="仿宋_GB2312" w:cs="仿宋_GB2312"/>
                <w:color w:val="auto"/>
                <w:sz w:val="20"/>
                <w:szCs w:val="20"/>
                <w:highlight w:val="none"/>
                <w:lang w:val="en-US" w:eastAsia="zh-CN"/>
              </w:rPr>
              <w:t>数据以报统计</w:t>
            </w:r>
            <w:r>
              <w:rPr>
                <w:rFonts w:hint="eastAsia" w:ascii="仿宋_GB2312" w:hAnsi="仿宋_GB2312" w:eastAsia="仿宋_GB2312" w:cs="仿宋_GB2312"/>
                <w:color w:val="auto"/>
                <w:sz w:val="20"/>
                <w:szCs w:val="20"/>
                <w:highlight w:val="none"/>
                <w:lang w:val="en-US" w:eastAsia="zh-CN"/>
              </w:rPr>
              <w:t>部门数据为准；</w:t>
            </w:r>
          </w:p>
          <w:p w14:paraId="426CF366">
            <w:pPr>
              <w:keepNext w:val="0"/>
              <w:keepLines w:val="0"/>
              <w:widowControl/>
              <w:suppressLineNumbers w:val="0"/>
              <w:spacing w:line="240" w:lineRule="auto"/>
              <w:jc w:val="left"/>
              <w:textAlignment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w:t>
            </w:r>
            <w:r>
              <w:rPr>
                <w:rFonts w:hint="eastAsia" w:ascii="仿宋_GB2312" w:hAnsi="仿宋_GB2312" w:cs="仿宋_GB2312"/>
                <w:color w:val="auto"/>
                <w:sz w:val="20"/>
                <w:szCs w:val="20"/>
                <w:highlight w:val="none"/>
                <w:lang w:val="en-US" w:eastAsia="zh-CN"/>
              </w:rPr>
              <w:t>3</w:t>
            </w:r>
            <w:r>
              <w:rPr>
                <w:rFonts w:hint="eastAsia" w:ascii="仿宋_GB2312" w:hAnsi="仿宋_GB2312" w:eastAsia="仿宋_GB2312" w:cs="仿宋_GB2312"/>
                <w:color w:val="auto"/>
                <w:sz w:val="20"/>
                <w:szCs w:val="20"/>
                <w:highlight w:val="none"/>
                <w:lang w:val="en-US" w:eastAsia="zh-CN"/>
              </w:rPr>
              <w:t>）企业营收增速以</w:t>
            </w:r>
            <w:r>
              <w:rPr>
                <w:rFonts w:hint="eastAsia" w:ascii="仿宋_GB2312" w:hAnsi="仿宋_GB2312" w:cs="仿宋_GB2312"/>
                <w:color w:val="auto"/>
                <w:sz w:val="20"/>
                <w:szCs w:val="20"/>
                <w:highlight w:val="none"/>
                <w:lang w:val="en-US" w:eastAsia="zh-CN"/>
              </w:rPr>
              <w:t>报</w:t>
            </w:r>
            <w:r>
              <w:rPr>
                <w:rFonts w:hint="eastAsia" w:ascii="仿宋_GB2312" w:hAnsi="仿宋_GB2312" w:eastAsia="仿宋_GB2312" w:cs="仿宋_GB2312"/>
                <w:color w:val="auto"/>
                <w:sz w:val="20"/>
                <w:szCs w:val="20"/>
                <w:highlight w:val="none"/>
                <w:lang w:val="en-US" w:eastAsia="zh-CN"/>
              </w:rPr>
              <w:t>统计</w:t>
            </w:r>
            <w:r>
              <w:rPr>
                <w:rFonts w:hint="eastAsia" w:ascii="仿宋_GB2312" w:hAnsi="仿宋_GB2312" w:cs="仿宋_GB2312"/>
                <w:color w:val="auto"/>
                <w:sz w:val="20"/>
                <w:szCs w:val="20"/>
                <w:highlight w:val="none"/>
                <w:lang w:val="en-US" w:eastAsia="zh-CN"/>
              </w:rPr>
              <w:t>部门</w:t>
            </w:r>
            <w:r>
              <w:rPr>
                <w:rFonts w:hint="eastAsia" w:ascii="仿宋_GB2312" w:hAnsi="仿宋_GB2312" w:eastAsia="仿宋_GB2312" w:cs="仿宋_GB2312"/>
                <w:color w:val="auto"/>
                <w:sz w:val="20"/>
                <w:szCs w:val="20"/>
                <w:highlight w:val="none"/>
                <w:lang w:val="en-US" w:eastAsia="zh-CN"/>
              </w:rPr>
              <w:t>数据为准；</w:t>
            </w:r>
          </w:p>
          <w:p w14:paraId="0DE22B44">
            <w:pPr>
              <w:keepNext w:val="0"/>
              <w:keepLines w:val="0"/>
              <w:widowControl/>
              <w:suppressLineNumbers w:val="0"/>
              <w:spacing w:line="240" w:lineRule="auto"/>
              <w:jc w:val="left"/>
              <w:textAlignment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w:t>
            </w:r>
            <w:r>
              <w:rPr>
                <w:rFonts w:hint="eastAsia" w:ascii="仿宋_GB2312" w:hAnsi="仿宋_GB2312" w:cs="仿宋_GB2312"/>
                <w:color w:val="auto"/>
                <w:sz w:val="20"/>
                <w:szCs w:val="20"/>
                <w:highlight w:val="none"/>
                <w:lang w:val="en-US" w:eastAsia="zh-CN"/>
              </w:rPr>
              <w:t>4</w:t>
            </w:r>
            <w:r>
              <w:rPr>
                <w:rFonts w:hint="eastAsia" w:ascii="仿宋_GB2312" w:hAnsi="仿宋_GB2312" w:eastAsia="仿宋_GB2312" w:cs="仿宋_GB2312"/>
                <w:color w:val="auto"/>
                <w:sz w:val="20"/>
                <w:szCs w:val="20"/>
                <w:highlight w:val="none"/>
                <w:lang w:val="en-US" w:eastAsia="zh-CN"/>
              </w:rPr>
              <w:t>）本年度人力资源业“</w:t>
            </w:r>
            <w:r>
              <w:rPr>
                <w:rFonts w:hint="eastAsia" w:ascii="仿宋_GB2312" w:hAnsi="仿宋_GB2312" w:cs="仿宋_GB2312"/>
                <w:color w:val="auto"/>
                <w:sz w:val="20"/>
                <w:szCs w:val="20"/>
                <w:highlight w:val="none"/>
                <w:lang w:val="en-US" w:eastAsia="zh-CN"/>
              </w:rPr>
              <w:t>规上</w:t>
            </w:r>
            <w:r>
              <w:rPr>
                <w:rFonts w:hint="eastAsia" w:ascii="仿宋_GB2312" w:hAnsi="仿宋_GB2312" w:eastAsia="仿宋_GB2312" w:cs="仿宋_GB2312"/>
                <w:color w:val="auto"/>
                <w:sz w:val="20"/>
                <w:szCs w:val="20"/>
                <w:highlight w:val="none"/>
                <w:lang w:val="en-US" w:eastAsia="zh-CN"/>
              </w:rPr>
              <w:t>”企业以统计局的统计分类为准；</w:t>
            </w:r>
          </w:p>
          <w:p w14:paraId="32C09DAD">
            <w:pPr>
              <w:keepNext w:val="0"/>
              <w:keepLines w:val="0"/>
              <w:widowControl/>
              <w:numPr>
                <w:ilvl w:val="0"/>
                <w:numId w:val="0"/>
              </w:numPr>
              <w:suppressLineNumbers w:val="0"/>
              <w:spacing w:line="240" w:lineRule="auto"/>
              <w:jc w:val="left"/>
              <w:textAlignment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w:t>
            </w:r>
            <w:r>
              <w:rPr>
                <w:rFonts w:hint="eastAsia" w:ascii="仿宋_GB2312" w:hAnsi="仿宋_GB2312" w:cs="仿宋_GB2312"/>
                <w:color w:val="auto"/>
                <w:sz w:val="20"/>
                <w:szCs w:val="20"/>
                <w:highlight w:val="none"/>
                <w:lang w:val="en-US" w:eastAsia="zh-CN"/>
              </w:rPr>
              <w:t>5</w:t>
            </w:r>
            <w:r>
              <w:rPr>
                <w:rFonts w:hint="eastAsia" w:ascii="仿宋_GB2312" w:hAnsi="仿宋_GB2312" w:eastAsia="仿宋_GB2312" w:cs="仿宋_GB2312"/>
                <w:color w:val="auto"/>
                <w:sz w:val="20"/>
                <w:szCs w:val="20"/>
                <w:highlight w:val="none"/>
                <w:lang w:val="en-US" w:eastAsia="zh-CN"/>
              </w:rPr>
              <w:t>）小微企业劳动关系事务托管工作的机构应为通过区人社部门遴选确定，并为托管服务对象提供劳动关系业务托管服务的人力资源机构；</w:t>
            </w:r>
          </w:p>
          <w:p w14:paraId="4B88CB81">
            <w:pPr>
              <w:keepNext w:val="0"/>
              <w:keepLines w:val="0"/>
              <w:widowControl/>
              <w:numPr>
                <w:ilvl w:val="0"/>
                <w:numId w:val="0"/>
              </w:numPr>
              <w:suppressLineNumbers w:val="0"/>
              <w:spacing w:line="240" w:lineRule="auto"/>
              <w:jc w:val="left"/>
              <w:textAlignment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w:t>
            </w:r>
            <w:r>
              <w:rPr>
                <w:rFonts w:hint="eastAsia" w:ascii="仿宋_GB2312" w:hAnsi="仿宋_GB2312" w:cs="仿宋_GB2312"/>
                <w:color w:val="auto"/>
                <w:sz w:val="20"/>
                <w:szCs w:val="20"/>
                <w:highlight w:val="none"/>
                <w:lang w:val="en-US" w:eastAsia="zh-CN"/>
              </w:rPr>
              <w:t>6</w:t>
            </w:r>
            <w:r>
              <w:rPr>
                <w:rFonts w:hint="eastAsia" w:ascii="仿宋_GB2312" w:hAnsi="仿宋_GB2312" w:eastAsia="仿宋_GB2312" w:cs="仿宋_GB2312"/>
                <w:color w:val="auto"/>
                <w:sz w:val="20"/>
                <w:szCs w:val="20"/>
                <w:highlight w:val="none"/>
                <w:lang w:val="en-US" w:eastAsia="zh-CN"/>
              </w:rPr>
              <w:t>）人才服务驿站专业机构应为通过区人社部门遴选确定，按照《海珠区人才服务驿站建设工作方案》要求，规范提供相关服务和开展人才服务活动的人力资源机构；</w:t>
            </w:r>
          </w:p>
          <w:p w14:paraId="39A75158">
            <w:pPr>
              <w:keepNext w:val="0"/>
              <w:keepLines w:val="0"/>
              <w:widowControl/>
              <w:suppressLineNumbers w:val="0"/>
              <w:spacing w:line="240" w:lineRule="auto"/>
              <w:jc w:val="left"/>
              <w:textAlignment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w:t>
            </w:r>
            <w:r>
              <w:rPr>
                <w:rFonts w:hint="eastAsia" w:ascii="仿宋_GB2312" w:hAnsi="仿宋_GB2312" w:cs="仿宋_GB2312"/>
                <w:color w:val="auto"/>
                <w:sz w:val="20"/>
                <w:szCs w:val="20"/>
                <w:highlight w:val="none"/>
                <w:lang w:val="en-US" w:eastAsia="zh-CN"/>
              </w:rPr>
              <w:t>7</w:t>
            </w:r>
            <w:r>
              <w:rPr>
                <w:rFonts w:hint="eastAsia" w:ascii="仿宋_GB2312" w:hAnsi="仿宋_GB2312" w:eastAsia="仿宋_GB2312" w:cs="仿宋_GB2312"/>
                <w:color w:val="auto"/>
                <w:sz w:val="20"/>
                <w:szCs w:val="20"/>
                <w:highlight w:val="none"/>
                <w:lang w:val="en-US" w:eastAsia="zh-CN"/>
              </w:rPr>
              <w:t>）</w:t>
            </w:r>
            <w:r>
              <w:rPr>
                <w:rFonts w:hint="eastAsia" w:ascii="仿宋_GB2312" w:hAnsi="仿宋_GB2312" w:eastAsia="仿宋_GB2312" w:cs="仿宋_GB2312"/>
                <w:i w:val="0"/>
                <w:color w:val="auto"/>
                <w:sz w:val="20"/>
                <w:szCs w:val="20"/>
                <w:highlight w:val="none"/>
                <w:u w:val="none"/>
                <w:shd w:val="clear" w:color="auto" w:fill="auto"/>
                <w:lang w:val="en-US" w:eastAsia="zh-CN"/>
              </w:rPr>
              <w:t>日常消防安全和相关统计工作</w:t>
            </w:r>
            <w:r>
              <w:rPr>
                <w:rFonts w:hint="eastAsia" w:ascii="仿宋_GB2312" w:hAnsi="仿宋_GB2312" w:cs="仿宋_GB2312"/>
                <w:i w:val="0"/>
                <w:color w:val="auto"/>
                <w:sz w:val="20"/>
                <w:szCs w:val="20"/>
                <w:highlight w:val="none"/>
                <w:u w:val="none"/>
                <w:shd w:val="clear" w:color="auto" w:fill="auto"/>
                <w:lang w:val="en-US" w:eastAsia="zh-CN"/>
              </w:rPr>
              <w:t>、招聘工作</w:t>
            </w:r>
            <w:r>
              <w:rPr>
                <w:rFonts w:hint="eastAsia" w:ascii="仿宋_GB2312" w:hAnsi="仿宋_GB2312" w:eastAsia="仿宋_GB2312" w:cs="仿宋_GB2312"/>
                <w:i w:val="0"/>
                <w:color w:val="auto"/>
                <w:sz w:val="20"/>
                <w:szCs w:val="20"/>
                <w:highlight w:val="none"/>
                <w:u w:val="none"/>
                <w:shd w:val="clear" w:color="auto" w:fill="auto"/>
                <w:lang w:val="en-US" w:eastAsia="zh-CN"/>
              </w:rPr>
              <w:t>完成情况由区人社局根据日常企业相关工作情况予以评定</w:t>
            </w:r>
            <w:r>
              <w:rPr>
                <w:rFonts w:hint="eastAsia" w:ascii="仿宋_GB2312" w:hAnsi="仿宋_GB2312" w:eastAsia="仿宋_GB2312" w:cs="仿宋_GB2312"/>
                <w:color w:val="auto"/>
                <w:sz w:val="20"/>
                <w:szCs w:val="20"/>
                <w:highlight w:val="none"/>
                <w:lang w:val="en-US" w:eastAsia="zh-CN"/>
              </w:rPr>
              <w:t>；</w:t>
            </w:r>
          </w:p>
          <w:p w14:paraId="20D7317C">
            <w:pPr>
              <w:keepNext w:val="0"/>
              <w:keepLines w:val="0"/>
              <w:widowControl/>
              <w:suppressLineNumbers w:val="0"/>
              <w:spacing w:line="240" w:lineRule="auto"/>
              <w:jc w:val="left"/>
              <w:textAlignment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w:t>
            </w:r>
            <w:r>
              <w:rPr>
                <w:rFonts w:hint="eastAsia" w:ascii="仿宋_GB2312" w:hAnsi="仿宋_GB2312" w:cs="仿宋_GB2312"/>
                <w:color w:val="auto"/>
                <w:sz w:val="20"/>
                <w:szCs w:val="20"/>
                <w:highlight w:val="none"/>
                <w:lang w:val="en-US" w:eastAsia="zh-CN"/>
              </w:rPr>
              <w:t>8</w:t>
            </w:r>
            <w:r>
              <w:rPr>
                <w:rFonts w:hint="eastAsia" w:ascii="仿宋_GB2312" w:hAnsi="仿宋_GB2312" w:eastAsia="仿宋_GB2312" w:cs="仿宋_GB2312"/>
                <w:color w:val="auto"/>
                <w:sz w:val="20"/>
                <w:szCs w:val="20"/>
                <w:highlight w:val="none"/>
                <w:lang w:val="en-US" w:eastAsia="zh-CN"/>
              </w:rPr>
              <w:t>）入驻中国广州人力资源产业园的机构需提供园区场地的租赁登记备案证明；</w:t>
            </w:r>
          </w:p>
          <w:p w14:paraId="02267640">
            <w:pPr>
              <w:keepNext w:val="0"/>
              <w:keepLines w:val="0"/>
              <w:widowControl/>
              <w:suppressLineNumbers w:val="0"/>
              <w:spacing w:line="240" w:lineRule="auto"/>
              <w:jc w:val="left"/>
              <w:textAlignment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w:t>
            </w:r>
            <w:r>
              <w:rPr>
                <w:rFonts w:hint="eastAsia" w:ascii="仿宋_GB2312" w:hAnsi="仿宋_GB2312" w:cs="仿宋_GB2312"/>
                <w:color w:val="auto"/>
                <w:sz w:val="20"/>
                <w:szCs w:val="20"/>
                <w:highlight w:val="none"/>
                <w:lang w:val="en-US" w:eastAsia="zh-CN"/>
              </w:rPr>
              <w:t>9</w:t>
            </w:r>
            <w:r>
              <w:rPr>
                <w:rFonts w:hint="eastAsia" w:ascii="仿宋_GB2312" w:hAnsi="仿宋_GB2312" w:eastAsia="仿宋_GB2312" w:cs="仿宋_GB2312"/>
                <w:color w:val="auto"/>
                <w:sz w:val="20"/>
                <w:szCs w:val="20"/>
                <w:highlight w:val="none"/>
                <w:lang w:val="en-US" w:eastAsia="zh-CN"/>
              </w:rPr>
              <w:t>）企业需在计分表“申报单位”</w:t>
            </w:r>
            <w:r>
              <w:rPr>
                <w:rFonts w:hint="eastAsia" w:ascii="仿宋_GB2312" w:hAnsi="仿宋_GB2312" w:cs="仿宋_GB2312"/>
                <w:color w:val="auto"/>
                <w:sz w:val="20"/>
                <w:szCs w:val="20"/>
                <w:highlight w:val="none"/>
                <w:lang w:val="en-US" w:eastAsia="zh-CN"/>
              </w:rPr>
              <w:t>处及</w:t>
            </w:r>
            <w:r>
              <w:rPr>
                <w:rFonts w:hint="eastAsia" w:ascii="仿宋_GB2312" w:hAnsi="仿宋_GB2312" w:eastAsia="仿宋_GB2312" w:cs="仿宋_GB2312"/>
                <w:color w:val="auto"/>
                <w:sz w:val="20"/>
                <w:szCs w:val="20"/>
                <w:highlight w:val="none"/>
                <w:lang w:val="en-US" w:eastAsia="zh-CN"/>
              </w:rPr>
              <w:t>佐证材料复印件加盖公章；</w:t>
            </w:r>
          </w:p>
        </w:tc>
      </w:tr>
    </w:tbl>
    <w:p w14:paraId="1C23C1B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0NGM2OTJhNDkwYjRiMjBmMTVhMTVkNTM3YmIzODAifQ=="/>
  </w:docVars>
  <w:rsids>
    <w:rsidRoot w:val="128F1880"/>
    <w:rsid w:val="111C4AE1"/>
    <w:rsid w:val="128F1880"/>
    <w:rsid w:val="154D36D7"/>
    <w:rsid w:val="1B540559"/>
    <w:rsid w:val="227760C8"/>
    <w:rsid w:val="45A338D8"/>
    <w:rsid w:val="4AE22D0B"/>
    <w:rsid w:val="52E94606"/>
    <w:rsid w:val="592832F7"/>
    <w:rsid w:val="5E0F3BB3"/>
    <w:rsid w:val="633D0D79"/>
    <w:rsid w:val="7B2E3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rPr>
      <w:rFonts w:ascii="Calibri" w:hAnsi="Calibri" w:eastAsia="宋体" w:cs="Times New Roman"/>
      <w:szCs w:val="22"/>
    </w:rPr>
  </w:style>
  <w:style w:type="paragraph" w:styleId="3">
    <w:name w:val="Body Text Indent"/>
    <w:basedOn w:val="1"/>
    <w:unhideWhenUsed/>
    <w:qFormat/>
    <w:uiPriority w:val="99"/>
    <w:pPr>
      <w:spacing w:after="120"/>
      <w:ind w:left="420" w:leftChars="200"/>
    </w:pPr>
  </w:style>
  <w:style w:type="paragraph" w:styleId="4">
    <w:name w:val="Body Text First Indent 2"/>
    <w:basedOn w:val="3"/>
    <w:qFormat/>
    <w:uiPriority w:val="0"/>
    <w:pPr>
      <w:widowControl/>
      <w:spacing w:after="0"/>
      <w:ind w:firstLine="420" w:firstLineChars="200"/>
    </w:pPr>
    <w:rPr>
      <w:rFonts w:ascii="Times New Roman" w:hAnsi="Times New Roman" w:cs="Times New Roman"/>
      <w:szCs w:val="20"/>
    </w:rPr>
  </w:style>
  <w:style w:type="character" w:customStyle="1" w:styleId="7">
    <w:name w:val="NormalCharacter"/>
    <w:qFormat/>
    <w:uiPriority w:val="0"/>
    <w:rPr>
      <w:rFonts w:eastAsia="仿宋_GB2312"/>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1</Pages>
  <Words>620</Words>
  <Characters>668</Characters>
  <Lines>0</Lines>
  <Paragraphs>0</Paragraphs>
  <TotalTime>0</TotalTime>
  <ScaleCrop>false</ScaleCrop>
  <LinksUpToDate>false</LinksUpToDate>
  <CharactersWithSpaces>702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2022-08-04T08:11:00Z</dcterms:created>
  <dc:creator>鱼鱼鱼</dc:creator>
  <cp:lastModifiedBy>鱼鱼鱼</cp:lastModifiedBy>
  <dcterms:modified xsi:type="dcterms:W3CDTF">2024-07-11T09:34:17Z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C702C5A194D6477ABADACEACD3118038_13</vt:lpwstr>
  </property>
</Properties>
</file>