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Times New Roman" w:hAnsi="Times New Roman" w:eastAsia="方正小标宋简体" w:cs="Times New Roman"/>
          <w:color w:val="000000"/>
          <w:sz w:val="32"/>
          <w:szCs w:val="32"/>
        </w:rPr>
      </w:pPr>
      <w:r>
        <w:rPr>
          <w:rFonts w:hint="eastAsia" w:ascii="Times New Roman" w:hAnsi="Times New Roman" w:eastAsia="方正小标宋简体" w:cs="Times New Roman"/>
          <w:color w:val="000000"/>
          <w:sz w:val="32"/>
          <w:szCs w:val="32"/>
          <w:lang w:val="en-US" w:eastAsia="zh-CN"/>
        </w:rPr>
        <w:t>2022年</w:t>
      </w:r>
      <w:r>
        <w:rPr>
          <w:rFonts w:hint="eastAsia" w:ascii="Times New Roman" w:hAnsi="Times New Roman" w:eastAsia="方正小标宋简体" w:cs="Times New Roman"/>
          <w:color w:val="000000"/>
          <w:sz w:val="32"/>
          <w:szCs w:val="32"/>
        </w:rPr>
        <w:t>海珠区市场监督管理局墙壁开关产品质量监督抽查</w:t>
      </w:r>
    </w:p>
    <w:p>
      <w:pPr>
        <w:snapToGrid w:val="0"/>
        <w:spacing w:line="360" w:lineRule="auto"/>
        <w:jc w:val="center"/>
        <w:rPr>
          <w:rFonts w:ascii="Times New Roman" w:hAnsi="Times New Roman" w:eastAsia="方正小标宋简体" w:cs="Times New Roman"/>
          <w:color w:val="000000"/>
          <w:sz w:val="32"/>
          <w:szCs w:val="32"/>
        </w:rPr>
      </w:pPr>
      <w:bookmarkStart w:id="0" w:name="_GoBack"/>
      <w:bookmarkEnd w:id="0"/>
      <w:r>
        <w:rPr>
          <w:rFonts w:hint="eastAsia" w:ascii="Times New Roman" w:hAnsi="Times New Roman" w:eastAsia="方正小标宋简体" w:cs="Times New Roman"/>
          <w:color w:val="000000"/>
          <w:sz w:val="32"/>
          <w:szCs w:val="32"/>
        </w:rPr>
        <w:t>实施细则</w:t>
      </w:r>
    </w:p>
    <w:p>
      <w:pPr>
        <w:adjustRightInd w:val="0"/>
        <w:snapToGrid w:val="0"/>
        <w:spacing w:line="360" w:lineRule="auto"/>
        <w:rPr>
          <w:rFonts w:ascii="Times New Roman" w:hAnsi="Times New Roman" w:eastAsia="黑体" w:cs="Times New Roman"/>
          <w:szCs w:val="21"/>
        </w:rPr>
      </w:pPr>
      <w:r>
        <w:rPr>
          <w:rFonts w:ascii="Times New Roman" w:hAnsi="Times New Roman" w:eastAsia="黑体" w:cs="Times New Roman"/>
          <w:szCs w:val="21"/>
        </w:rPr>
        <w:t xml:space="preserve">1 </w:t>
      </w:r>
      <w:r>
        <w:rPr>
          <w:rFonts w:ascii="Times New Roman" w:hAnsi="Times New Roman" w:eastAsia="黑体" w:cs="Times New Roman"/>
          <w:color w:val="000000"/>
          <w:szCs w:val="21"/>
        </w:rPr>
        <w:t>抽样方法</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在企业的待销产品中随机抽取有产品质量检验合格证明或者以其他形式表明合格的、近期生产的产品。</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抽查样品基数</w:t>
      </w:r>
      <w:r>
        <w:rPr>
          <w:rFonts w:hint="eastAsia" w:ascii="Times New Roman" w:hAnsi="Times New Roman" w:cs="Times New Roman"/>
          <w:color w:val="000000"/>
          <w:szCs w:val="21"/>
        </w:rPr>
        <w:t>应</w:t>
      </w:r>
      <w:r>
        <w:rPr>
          <w:rFonts w:ascii="Times New Roman" w:hAnsi="Times New Roman" w:cs="Times New Roman"/>
          <w:color w:val="000000"/>
          <w:szCs w:val="21"/>
        </w:rPr>
        <w:t>满足抽样数量</w:t>
      </w:r>
      <w:r>
        <w:rPr>
          <w:rFonts w:hint="eastAsia" w:ascii="Times New Roman" w:hAnsi="Times New Roman" w:cs="Times New Roman"/>
          <w:color w:val="000000"/>
          <w:szCs w:val="21"/>
        </w:rPr>
        <w:t>要求</w:t>
      </w:r>
      <w:r>
        <w:rPr>
          <w:rFonts w:ascii="Times New Roman" w:hAnsi="Times New Roman" w:cs="Times New Roman"/>
          <w:color w:val="000000"/>
          <w:szCs w:val="21"/>
        </w:rPr>
        <w:t>。</w:t>
      </w:r>
    </w:p>
    <w:p>
      <w:pPr>
        <w:adjustRightInd w:val="0"/>
        <w:snapToGrid w:val="0"/>
        <w:spacing w:line="360" w:lineRule="auto"/>
        <w:ind w:firstLine="420"/>
        <w:rPr>
          <w:rFonts w:ascii="Times New Roman" w:hAnsi="Times New Roman" w:cs="Times New Roman"/>
        </w:rPr>
      </w:pPr>
      <w:r>
        <w:rPr>
          <w:rFonts w:ascii="Times New Roman" w:hAnsi="Times New Roman" w:cs="Times New Roman"/>
        </w:rPr>
        <w:t>每批次产品抽取样品</w:t>
      </w:r>
      <w:r>
        <w:rPr>
          <w:rFonts w:hint="eastAsia" w:ascii="Times New Roman" w:hAnsi="Times New Roman" w:cs="Times New Roman"/>
        </w:rPr>
        <w:t>18个</w:t>
      </w:r>
      <w:r>
        <w:rPr>
          <w:rFonts w:ascii="Times New Roman" w:hAnsi="Times New Roman" w:cs="Times New Roman"/>
        </w:rPr>
        <w:t>，其中</w:t>
      </w:r>
      <w:r>
        <w:rPr>
          <w:rFonts w:hint="eastAsia" w:ascii="Times New Roman" w:hAnsi="Times New Roman" w:cs="Times New Roman"/>
        </w:rPr>
        <w:t>9个</w:t>
      </w:r>
      <w:r>
        <w:rPr>
          <w:rFonts w:ascii="Times New Roman" w:hAnsi="Times New Roman" w:cs="Times New Roman"/>
        </w:rPr>
        <w:t>作为检验样品，另</w:t>
      </w:r>
      <w:r>
        <w:rPr>
          <w:rFonts w:hint="eastAsia" w:ascii="Times New Roman" w:hAnsi="Times New Roman" w:cs="Times New Roman"/>
        </w:rPr>
        <w:t>9个</w:t>
      </w:r>
      <w:r>
        <w:rPr>
          <w:rFonts w:ascii="Times New Roman" w:hAnsi="Times New Roman" w:cs="Times New Roman"/>
        </w:rPr>
        <w:t>作为备用样品。</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随机数一般可使用随机数表、随机数骰子或扑克牌等方法产生。</w:t>
      </w:r>
    </w:p>
    <w:p>
      <w:pPr>
        <w:adjustRightInd w:val="0"/>
        <w:snapToGrid w:val="0"/>
        <w:spacing w:line="360" w:lineRule="auto"/>
        <w:rPr>
          <w:rFonts w:ascii="Times New Roman" w:hAnsi="Times New Roman" w:eastAsia="黑体"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2 检验依据</w:t>
      </w:r>
    </w:p>
    <w:p>
      <w:pPr>
        <w:adjustRightInd w:val="0"/>
        <w:snapToGrid w:val="0"/>
        <w:spacing w:line="360" w:lineRule="auto"/>
        <w:jc w:val="left"/>
        <w:rPr>
          <w:rFonts w:ascii="Times New Roman" w:hAnsi="Times New Roman" w:cs="Times New Roman"/>
          <w:color w:val="000000"/>
          <w:szCs w:val="21"/>
        </w:rPr>
      </w:pPr>
      <w:r>
        <w:rPr>
          <w:rFonts w:ascii="Times New Roman" w:hAnsi="Times New Roman" w:cs="Times New Roman"/>
          <w:color w:val="000000"/>
          <w:szCs w:val="21"/>
        </w:rPr>
        <w:t>本次抽查检验项目和检验方法依据见表1。</w:t>
      </w:r>
    </w:p>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表1检验项目</w:t>
      </w:r>
    </w:p>
    <w:tbl>
      <w:tblPr>
        <w:tblStyle w:val="5"/>
        <w:tblW w:w="97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
        <w:gridCol w:w="2265"/>
        <w:gridCol w:w="2160"/>
        <w:gridCol w:w="2070"/>
        <w:gridCol w:w="1320"/>
        <w:gridCol w:w="1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479"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2265"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检验项目</w:t>
            </w:r>
          </w:p>
        </w:tc>
        <w:tc>
          <w:tcPr>
            <w:tcW w:w="2160"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检验依据</w:t>
            </w:r>
          </w:p>
        </w:tc>
        <w:tc>
          <w:tcPr>
            <w:tcW w:w="2070" w:type="dxa"/>
            <w:vMerge w:val="restart"/>
            <w:vAlign w:val="center"/>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检验方法</w:t>
            </w:r>
          </w:p>
        </w:tc>
        <w:tc>
          <w:tcPr>
            <w:tcW w:w="2794" w:type="dxa"/>
            <w:gridSpan w:val="2"/>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重要程度分类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479"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265"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16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2070" w:type="dxa"/>
            <w:vMerge w:val="continue"/>
            <w:vAlign w:val="center"/>
          </w:tcPr>
          <w:p>
            <w:pPr>
              <w:adjustRightInd w:val="0"/>
              <w:snapToGrid w:val="0"/>
              <w:spacing w:line="360" w:lineRule="auto"/>
              <w:jc w:val="center"/>
              <w:rPr>
                <w:rFonts w:ascii="Times New Roman" w:hAnsi="Times New Roman" w:cs="Times New Roman"/>
                <w:color w:val="000000"/>
                <w:szCs w:val="21"/>
              </w:rPr>
            </w:pPr>
          </w:p>
        </w:tc>
        <w:tc>
          <w:tcPr>
            <w:tcW w:w="1320" w:type="dxa"/>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A类a</w:t>
            </w:r>
          </w:p>
        </w:tc>
        <w:tc>
          <w:tcPr>
            <w:tcW w:w="1474" w:type="dxa"/>
            <w:vAlign w:val="center"/>
          </w:tcPr>
          <w:p>
            <w:pPr>
              <w:snapToGrid w:val="0"/>
              <w:spacing w:line="320" w:lineRule="exact"/>
              <w:jc w:val="center"/>
              <w:rPr>
                <w:rFonts w:ascii="Times New Roman" w:hAnsi="Times New Roman" w:cs="Times New Roman"/>
                <w:color w:val="000000"/>
                <w:szCs w:val="21"/>
              </w:rPr>
            </w:pPr>
            <w:r>
              <w:rPr>
                <w:rFonts w:ascii="Times New Roman" w:hAnsi="Times New Roman" w:cs="Times New Roman"/>
                <w:color w:val="000000"/>
                <w:szCs w:val="21"/>
              </w:rPr>
              <w:t>B类b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1</w:t>
            </w:r>
          </w:p>
        </w:tc>
        <w:tc>
          <w:tcPr>
            <w:tcW w:w="2265" w:type="dxa"/>
            <w:vAlign w:val="center"/>
          </w:tcPr>
          <w:p>
            <w:pPr>
              <w:adjustRightInd w:val="0"/>
              <w:snapToGrid w:val="0"/>
              <w:spacing w:line="280" w:lineRule="exact"/>
              <w:jc w:val="center"/>
              <w:rPr>
                <w:rFonts w:ascii="Times New Roman" w:hAnsi="Times New Roman" w:cs="Times New Roman"/>
                <w:color w:val="000000"/>
                <w:szCs w:val="21"/>
              </w:rPr>
            </w:pPr>
            <w:r>
              <w:rPr>
                <w:rFonts w:hint="eastAsia" w:ascii="Times New Roman" w:hAnsi="Times New Roman" w:cs="Times New Roman"/>
                <w:color w:val="000000"/>
                <w:szCs w:val="21"/>
              </w:rPr>
              <w:t>防触电保护</w:t>
            </w:r>
          </w:p>
        </w:tc>
        <w:tc>
          <w:tcPr>
            <w:tcW w:w="2160" w:type="dxa"/>
            <w:vMerge w:val="restart"/>
            <w:vAlign w:val="center"/>
          </w:tcPr>
          <w:p>
            <w:pPr>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GB/T 16915.1-</w:t>
            </w:r>
            <w:r>
              <w:rPr>
                <w:rFonts w:ascii="Times New Roman" w:hAnsi="Times New Roman" w:cs="Times New Roman"/>
                <w:color w:val="000000"/>
                <w:szCs w:val="21"/>
              </w:rPr>
              <w:t>2014</w:t>
            </w:r>
          </w:p>
          <w:p>
            <w:pPr>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 xml:space="preserve"> </w:t>
            </w:r>
          </w:p>
          <w:p>
            <w:pPr>
              <w:adjustRightInd w:val="0"/>
              <w:snapToGrid w:val="0"/>
              <w:spacing w:line="360" w:lineRule="auto"/>
              <w:jc w:val="center"/>
              <w:rPr>
                <w:rFonts w:ascii="Times New Roman" w:hAnsi="Times New Roman" w:cs="Times New Roman"/>
                <w:color w:val="000000"/>
                <w:szCs w:val="21"/>
              </w:rPr>
            </w:pPr>
          </w:p>
        </w:tc>
        <w:tc>
          <w:tcPr>
            <w:tcW w:w="2070" w:type="dxa"/>
            <w:vMerge w:val="restart"/>
            <w:vAlign w:val="center"/>
          </w:tcPr>
          <w:p>
            <w:pPr>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GB/T 16915.1-</w:t>
            </w:r>
            <w:r>
              <w:rPr>
                <w:rFonts w:ascii="Times New Roman" w:hAnsi="Times New Roman" w:cs="Times New Roman"/>
                <w:color w:val="000000"/>
                <w:szCs w:val="21"/>
              </w:rPr>
              <w:t>2014</w:t>
            </w:r>
          </w:p>
          <w:p>
            <w:pPr>
              <w:snapToGrid w:val="0"/>
              <w:jc w:val="center"/>
              <w:rPr>
                <w:rFonts w:ascii="Times New Roman" w:hAnsi="Times New Roman" w:cs="Times New Roman"/>
                <w:color w:val="000000"/>
                <w:szCs w:val="21"/>
              </w:rPr>
            </w:pPr>
            <w:r>
              <w:rPr>
                <w:rFonts w:hint="eastAsia" w:ascii="Times New Roman" w:hAnsi="Times New Roman" w:cs="Times New Roman"/>
                <w:color w:val="000000"/>
                <w:szCs w:val="21"/>
              </w:rPr>
              <w:t xml:space="preserve"> </w:t>
            </w:r>
          </w:p>
          <w:p>
            <w:pPr>
              <w:adjustRightInd w:val="0"/>
              <w:snapToGrid w:val="0"/>
              <w:spacing w:line="360" w:lineRule="auto"/>
              <w:jc w:val="center"/>
              <w:rPr>
                <w:rFonts w:ascii="Times New Roman" w:hAnsi="Times New Roman" w:cs="Times New Roman"/>
                <w:color w:val="000000"/>
                <w:szCs w:val="21"/>
              </w:rPr>
            </w:pPr>
          </w:p>
        </w:tc>
        <w:tc>
          <w:tcPr>
            <w:tcW w:w="1320" w:type="dxa"/>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474" w:type="dxa"/>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2</w:t>
            </w:r>
          </w:p>
        </w:tc>
        <w:tc>
          <w:tcPr>
            <w:tcW w:w="2265" w:type="dxa"/>
            <w:vAlign w:val="center"/>
          </w:tcPr>
          <w:p>
            <w:pPr>
              <w:adjustRightInd w:val="0"/>
              <w:snapToGrid w:val="0"/>
              <w:spacing w:line="280" w:lineRule="exact"/>
              <w:jc w:val="center"/>
              <w:rPr>
                <w:rFonts w:ascii="Times New Roman" w:hAnsi="Times New Roman" w:cs="Times New Roman"/>
                <w:color w:val="000000"/>
                <w:szCs w:val="21"/>
              </w:rPr>
            </w:pPr>
            <w:r>
              <w:rPr>
                <w:rFonts w:hint="eastAsia" w:ascii="Times New Roman" w:hAnsi="Times New Roman" w:cs="Times New Roman"/>
                <w:color w:val="000000"/>
                <w:szCs w:val="21"/>
              </w:rPr>
              <w:t>接地措施</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474" w:type="dxa"/>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3</w:t>
            </w:r>
          </w:p>
        </w:tc>
        <w:tc>
          <w:tcPr>
            <w:tcW w:w="2265" w:type="dxa"/>
            <w:vAlign w:val="center"/>
          </w:tcPr>
          <w:p>
            <w:pPr>
              <w:snapToGrid w:val="0"/>
              <w:jc w:val="center"/>
              <w:rPr>
                <w:rFonts w:ascii="Times New Roman" w:hAnsi="Times New Roman" w:cs="Times New Roman"/>
                <w:color w:val="000000"/>
                <w:szCs w:val="21"/>
              </w:rPr>
            </w:pPr>
            <w:r>
              <w:rPr>
                <w:rFonts w:ascii="Times New Roman" w:hAnsi="Times New Roman" w:cs="Times New Roman"/>
                <w:color w:val="000000"/>
                <w:szCs w:val="21"/>
              </w:rPr>
              <w:t>绝缘电阻和电气强度</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474" w:type="dxa"/>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4</w:t>
            </w:r>
          </w:p>
        </w:tc>
        <w:tc>
          <w:tcPr>
            <w:tcW w:w="2265" w:type="dxa"/>
            <w:vAlign w:val="center"/>
          </w:tcPr>
          <w:p>
            <w:pPr>
              <w:adjustRightInd w:val="0"/>
              <w:snapToGrid w:val="0"/>
              <w:spacing w:line="280" w:lineRule="exact"/>
              <w:jc w:val="center"/>
              <w:rPr>
                <w:rFonts w:ascii="Times New Roman" w:hAnsi="Times New Roman" w:cs="Times New Roman"/>
                <w:color w:val="000000"/>
                <w:szCs w:val="21"/>
              </w:rPr>
            </w:pPr>
            <w:r>
              <w:rPr>
                <w:rFonts w:hint="eastAsia" w:ascii="Times New Roman" w:hAnsi="Times New Roman" w:cs="Times New Roman"/>
                <w:color w:val="000000"/>
                <w:szCs w:val="21"/>
              </w:rPr>
              <w:t>耐热</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tcPr>
          <w:p>
            <w:pPr>
              <w:adjustRightInd w:val="0"/>
              <w:snapToGrid w:val="0"/>
              <w:spacing w:line="360" w:lineRule="auto"/>
              <w:jc w:val="center"/>
              <w:rPr>
                <w:rFonts w:ascii="Times New Roman" w:hAnsi="Times New Roman" w:cs="Times New Roman"/>
                <w:color w:val="000000"/>
                <w:szCs w:val="21"/>
              </w:rPr>
            </w:pPr>
          </w:p>
        </w:tc>
        <w:tc>
          <w:tcPr>
            <w:tcW w:w="1474" w:type="dxa"/>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5</w:t>
            </w:r>
          </w:p>
        </w:tc>
        <w:tc>
          <w:tcPr>
            <w:tcW w:w="2265" w:type="dxa"/>
            <w:vAlign w:val="center"/>
          </w:tcPr>
          <w:p>
            <w:pPr>
              <w:adjustRightInd w:val="0"/>
              <w:snapToGrid w:val="0"/>
              <w:spacing w:line="280" w:lineRule="exact"/>
              <w:jc w:val="center"/>
              <w:rPr>
                <w:rFonts w:ascii="Times New Roman" w:hAnsi="Times New Roman" w:cs="Times New Roman"/>
                <w:color w:val="000000"/>
                <w:szCs w:val="21"/>
              </w:rPr>
            </w:pPr>
            <w:r>
              <w:rPr>
                <w:rFonts w:hint="eastAsia" w:ascii="Times New Roman" w:hAnsi="Times New Roman" w:cs="Times New Roman"/>
                <w:color w:val="000000"/>
                <w:szCs w:val="21"/>
              </w:rPr>
              <w:t>爬电距离、电气间隙和穿通密封胶的距离</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474" w:type="dxa"/>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479" w:type="dxa"/>
          </w:tcPr>
          <w:p>
            <w:pPr>
              <w:adjustRightInd w:val="0"/>
              <w:snapToGrid w:val="0"/>
              <w:spacing w:line="360" w:lineRule="auto"/>
              <w:jc w:val="center"/>
              <w:rPr>
                <w:rFonts w:ascii="Times New Roman" w:hAnsi="Times New Roman" w:cs="Times New Roman"/>
                <w:color w:val="000000"/>
                <w:szCs w:val="21"/>
              </w:rPr>
            </w:pPr>
            <w:r>
              <w:rPr>
                <w:rFonts w:hint="eastAsia" w:ascii="Times New Roman" w:hAnsi="Times New Roman" w:cs="Times New Roman"/>
                <w:color w:val="000000"/>
                <w:szCs w:val="21"/>
              </w:rPr>
              <w:t>6</w:t>
            </w:r>
          </w:p>
        </w:tc>
        <w:tc>
          <w:tcPr>
            <w:tcW w:w="2265" w:type="dxa"/>
            <w:vAlign w:val="center"/>
          </w:tcPr>
          <w:p>
            <w:pPr>
              <w:adjustRightInd w:val="0"/>
              <w:snapToGrid w:val="0"/>
              <w:spacing w:line="280" w:lineRule="exact"/>
              <w:jc w:val="center"/>
              <w:rPr>
                <w:rFonts w:ascii="Times New Roman" w:hAnsi="Times New Roman" w:cs="Times New Roman"/>
                <w:color w:val="000000"/>
                <w:szCs w:val="21"/>
              </w:rPr>
            </w:pPr>
            <w:r>
              <w:rPr>
                <w:rFonts w:hint="eastAsia" w:ascii="Times New Roman" w:hAnsi="Times New Roman" w:cs="Times New Roman"/>
                <w:color w:val="000000"/>
                <w:szCs w:val="21"/>
              </w:rPr>
              <w:t>绝缘材料的耐非正常热、耐燃和耐电痕化</w:t>
            </w:r>
          </w:p>
        </w:tc>
        <w:tc>
          <w:tcPr>
            <w:tcW w:w="2160" w:type="dxa"/>
            <w:vMerge w:val="continue"/>
          </w:tcPr>
          <w:p>
            <w:pPr>
              <w:adjustRightInd w:val="0"/>
              <w:snapToGrid w:val="0"/>
              <w:spacing w:line="360" w:lineRule="auto"/>
              <w:jc w:val="center"/>
              <w:rPr>
                <w:rFonts w:ascii="Times New Roman" w:hAnsi="Times New Roman" w:cs="Times New Roman"/>
                <w:color w:val="000000"/>
                <w:szCs w:val="21"/>
              </w:rPr>
            </w:pPr>
          </w:p>
        </w:tc>
        <w:tc>
          <w:tcPr>
            <w:tcW w:w="2070" w:type="dxa"/>
            <w:vMerge w:val="continue"/>
          </w:tcPr>
          <w:p>
            <w:pPr>
              <w:adjustRightInd w:val="0"/>
              <w:snapToGrid w:val="0"/>
              <w:spacing w:line="360" w:lineRule="auto"/>
              <w:jc w:val="center"/>
              <w:rPr>
                <w:rFonts w:ascii="Times New Roman" w:hAnsi="Times New Roman" w:cs="Times New Roman"/>
                <w:color w:val="000000"/>
                <w:szCs w:val="21"/>
              </w:rPr>
            </w:pPr>
          </w:p>
        </w:tc>
        <w:tc>
          <w:tcPr>
            <w:tcW w:w="1320" w:type="dxa"/>
          </w:tcPr>
          <w:p>
            <w:pPr>
              <w:adjustRightInd w:val="0"/>
              <w:snapToGrid w:val="0"/>
              <w:spacing w:line="360" w:lineRule="auto"/>
              <w:jc w:val="center"/>
              <w:rPr>
                <w:rFonts w:ascii="Times New Roman" w:hAnsi="Times New Roman" w:cs="Times New Roman"/>
                <w:color w:val="000000"/>
                <w:szCs w:val="21"/>
              </w:rPr>
            </w:pPr>
            <w:r>
              <w:rPr>
                <w:rFonts w:ascii="Times New Roman" w:hAnsi="Times New Roman" w:cs="Times New Roman"/>
                <w:color w:val="000000"/>
                <w:szCs w:val="21"/>
              </w:rPr>
              <w:t>●</w:t>
            </w:r>
          </w:p>
        </w:tc>
        <w:tc>
          <w:tcPr>
            <w:tcW w:w="1474" w:type="dxa"/>
          </w:tcPr>
          <w:p>
            <w:pPr>
              <w:adjustRightInd w:val="0"/>
              <w:snapToGrid w:val="0"/>
              <w:spacing w:line="360" w:lineRule="auto"/>
              <w:jc w:val="center"/>
              <w:rPr>
                <w:rFonts w:ascii="Times New Roman" w:hAnsi="Times New Roman" w:cs="Times New Roman"/>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 w:hRule="atLeast"/>
          <w:jc w:val="center"/>
        </w:trPr>
        <w:tc>
          <w:tcPr>
            <w:tcW w:w="9768" w:type="dxa"/>
            <w:gridSpan w:val="6"/>
          </w:tcPr>
          <w:p>
            <w:pPr>
              <w:adjustRightInd w:val="0"/>
              <w:snapToGrid w:val="0"/>
              <w:spacing w:line="360" w:lineRule="auto"/>
              <w:rPr>
                <w:rFonts w:ascii="Times New Roman" w:hAnsi="Times New Roman" w:cs="Times New Roman"/>
                <w:color w:val="000000"/>
                <w:sz w:val="18"/>
                <w:szCs w:val="18"/>
              </w:rPr>
            </w:pPr>
            <w:r>
              <w:rPr>
                <w:rFonts w:ascii="Times New Roman" w:hAnsi="Times New Roman" w:cs="Times New Roman"/>
                <w:color w:val="000000"/>
                <w:sz w:val="18"/>
                <w:szCs w:val="18"/>
              </w:rPr>
              <w:t>a极重要质量项目。</w:t>
            </w:r>
          </w:p>
          <w:p>
            <w:pPr>
              <w:adjustRightInd w:val="0"/>
              <w:snapToGrid w:val="0"/>
              <w:spacing w:line="360" w:lineRule="auto"/>
              <w:jc w:val="left"/>
              <w:rPr>
                <w:rFonts w:ascii="Times New Roman" w:hAnsi="Times New Roman" w:cs="Times New Roman"/>
              </w:rPr>
            </w:pPr>
            <w:r>
              <w:rPr>
                <w:rFonts w:ascii="Times New Roman" w:hAnsi="Times New Roman" w:cs="Times New Roman"/>
                <w:color w:val="000000"/>
                <w:sz w:val="18"/>
                <w:szCs w:val="18"/>
              </w:rPr>
              <w:t>b重要质量项目。</w:t>
            </w:r>
          </w:p>
        </w:tc>
      </w:tr>
    </w:tbl>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eastAsia="宋体" w:cs="Times New Roman"/>
          <w:color w:val="000000"/>
          <w:szCs w:val="21"/>
          <w:lang w:val="zh-TW" w:eastAsia="zh-TW"/>
        </w:rPr>
        <w:t>执行企业标准、团体标准、地方标准的产品，检验项目参照上述内容执行。</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凡是注日期的文件，其随后所有的修改单（不包括勘误的内容）或修订版不适用于本细则。凡是不注日期的文件，其最新版本适用于本细则。</w:t>
      </w:r>
    </w:p>
    <w:p>
      <w:pPr>
        <w:adjustRightInd w:val="0"/>
        <w:snapToGrid w:val="0"/>
        <w:spacing w:line="360" w:lineRule="auto"/>
        <w:ind w:firstLine="420" w:firstLineChars="200"/>
        <w:rPr>
          <w:rFonts w:ascii="Times New Roman" w:hAnsi="Times New Roman" w:cs="Times New Roman"/>
          <w:color w:val="000000"/>
          <w:szCs w:val="21"/>
        </w:rPr>
      </w:pPr>
    </w:p>
    <w:p>
      <w:pPr>
        <w:adjustRightInd w:val="0"/>
        <w:snapToGrid w:val="0"/>
        <w:spacing w:line="360" w:lineRule="auto"/>
        <w:rPr>
          <w:rFonts w:ascii="Times New Roman" w:hAnsi="Times New Roman" w:eastAsia="黑体" w:cs="Times New Roman"/>
          <w:color w:val="000000"/>
          <w:szCs w:val="21"/>
        </w:rPr>
      </w:pPr>
      <w:r>
        <w:rPr>
          <w:rFonts w:ascii="Times New Roman" w:hAnsi="Times New Roman" w:eastAsia="黑体" w:cs="Times New Roman"/>
          <w:color w:val="000000"/>
          <w:szCs w:val="21"/>
        </w:rPr>
        <w:t>3 判定规则</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3.1依据标准</w:t>
      </w:r>
    </w:p>
    <w:p>
      <w:pPr>
        <w:adjustRightInd w:val="0"/>
        <w:snapToGrid w:val="0"/>
        <w:spacing w:line="360" w:lineRule="auto"/>
        <w:ind w:firstLine="420" w:firstLineChars="200"/>
        <w:rPr>
          <w:rFonts w:ascii="Times New Roman" w:hAnsi="Times New Roman" w:cs="Times New Roman"/>
          <w:color w:val="000000"/>
          <w:szCs w:val="21"/>
        </w:rPr>
      </w:pPr>
      <w:r>
        <w:rPr>
          <w:rFonts w:hint="eastAsia" w:ascii="Times New Roman" w:hAnsi="Times New Roman" w:cs="Times New Roman"/>
          <w:color w:val="000000"/>
          <w:szCs w:val="21"/>
        </w:rPr>
        <w:t>GB/T 16915.1-2014 《家用和类似用途固定式电气装置的开关  第一部分：通用要求》</w:t>
      </w:r>
    </w:p>
    <w:p>
      <w:pPr>
        <w:adjustRightInd w:val="0"/>
        <w:snapToGrid w:val="0"/>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现行有效的企业标准、团体标准、地方标准及产品明示质量要求</w:t>
      </w:r>
    </w:p>
    <w:p>
      <w:pPr>
        <w:adjustRightInd w:val="0"/>
        <w:snapToGrid w:val="0"/>
        <w:spacing w:line="360" w:lineRule="auto"/>
        <w:rPr>
          <w:rFonts w:ascii="Times New Roman" w:hAnsi="Times New Roman" w:cs="Times New Roman"/>
          <w:color w:val="000000"/>
          <w:szCs w:val="21"/>
        </w:rPr>
      </w:pPr>
      <w:r>
        <w:rPr>
          <w:rFonts w:ascii="Times New Roman" w:hAnsi="Times New Roman" w:cs="Times New Roman"/>
          <w:color w:val="000000"/>
          <w:szCs w:val="21"/>
        </w:rPr>
        <w:t>3.2判定原则</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经检验，所检验项目全部符合标准要求，判定为被抽查产品未发现不合格；检验项目中任一项或一项以上不合格，判定为被抽查产品不合格。当产品存在A类项目不合格时，属于严重不合格。</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若被检产品明示的质量要求高于本细则中检验项目依据的标准要求时，应按被检产品明示的质量要求判定。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若被检产品明示的质量要求低于本细则中检验项目依据的强制性标准要求时，应按照强制性标准要求判定。</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若被检产品明示的质量要求低于或包含本细则中检验项目依据的推荐性标准要求时，应以被检产品明示的质量要求判定，但应在检验报告备注中进行说明。</w:t>
      </w:r>
    </w:p>
    <w:p>
      <w:pPr>
        <w:adjustRightInd w:val="0"/>
        <w:snapToGrid w:val="0"/>
        <w:spacing w:line="360" w:lineRule="auto"/>
        <w:ind w:firstLine="417" w:firstLineChars="199"/>
        <w:rPr>
          <w:rFonts w:ascii="Times New Roman" w:hAnsi="Times New Roman" w:cs="Times New Roman"/>
          <w:color w:val="000000"/>
          <w:szCs w:val="21"/>
        </w:rPr>
      </w:pPr>
      <w:r>
        <w:rPr>
          <w:rFonts w:ascii="Times New Roman" w:hAnsi="Times New Roman" w:cs="Times New Roman"/>
          <w:color w:val="000000"/>
          <w:szCs w:val="21"/>
        </w:rPr>
        <w:t>若被检产品明示的质量要求缺少本细则中检验项目依据的强制性标准要求时，应按照强制性标准要求判定。</w:t>
      </w:r>
    </w:p>
    <w:p>
      <w:pPr>
        <w:adjustRightInd w:val="0"/>
        <w:snapToGrid w:val="0"/>
        <w:spacing w:line="360" w:lineRule="auto"/>
        <w:ind w:firstLine="420" w:firstLineChars="200"/>
        <w:rPr>
          <w:rFonts w:ascii="Times New Roman" w:hAnsi="Times New Roman" w:cs="Times New Roman"/>
          <w:szCs w:val="21"/>
        </w:rPr>
      </w:pPr>
      <w:r>
        <w:rPr>
          <w:rFonts w:ascii="Times New Roman" w:hAnsi="Times New Roman" w:cs="Times New Roman"/>
          <w:color w:val="000000"/>
          <w:szCs w:val="21"/>
        </w:rPr>
        <w:t>若被检产品明示的质量要求缺少本细则中检验项目依据的推荐性标准要求时，该项目不参与判定，但应在检验报告备注中进行说明。</w:t>
      </w:r>
    </w:p>
    <w:p>
      <w:pPr>
        <w:adjustRightInd w:val="0"/>
        <w:snapToGrid w:val="0"/>
        <w:spacing w:line="360" w:lineRule="auto"/>
        <w:rPr>
          <w:rFonts w:ascii="Times New Roman" w:hAnsi="Times New Roman" w:cs="Times New Roman"/>
        </w:rPr>
      </w:pPr>
    </w:p>
    <w:sectPr>
      <w:pgSz w:w="11906" w:h="16838"/>
      <w:pgMar w:top="850"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jE3MDcyMTE0ZDY0N2I1ZGJmYTY0Mjk4MTRmYWYifQ=="/>
  </w:docVars>
  <w:rsids>
    <w:rsidRoot w:val="12393256"/>
    <w:rsid w:val="002A143E"/>
    <w:rsid w:val="00393C1F"/>
    <w:rsid w:val="003B0BEF"/>
    <w:rsid w:val="005A6630"/>
    <w:rsid w:val="00A32162"/>
    <w:rsid w:val="00A33068"/>
    <w:rsid w:val="00A8568C"/>
    <w:rsid w:val="00AE15D2"/>
    <w:rsid w:val="00B65ECD"/>
    <w:rsid w:val="00BD1056"/>
    <w:rsid w:val="00BE0ED1"/>
    <w:rsid w:val="00D65E4C"/>
    <w:rsid w:val="00E167B0"/>
    <w:rsid w:val="00E73F3C"/>
    <w:rsid w:val="06331780"/>
    <w:rsid w:val="08A24D61"/>
    <w:rsid w:val="091C6251"/>
    <w:rsid w:val="0C17734B"/>
    <w:rsid w:val="11715A74"/>
    <w:rsid w:val="12393256"/>
    <w:rsid w:val="1C644553"/>
    <w:rsid w:val="21060E20"/>
    <w:rsid w:val="25E06AC8"/>
    <w:rsid w:val="3287622A"/>
    <w:rsid w:val="3DAB3E8E"/>
    <w:rsid w:val="3FC96753"/>
    <w:rsid w:val="40596541"/>
    <w:rsid w:val="41F302C5"/>
    <w:rsid w:val="4286093B"/>
    <w:rsid w:val="439A22E0"/>
    <w:rsid w:val="46D858A8"/>
    <w:rsid w:val="52440C72"/>
    <w:rsid w:val="59E027F0"/>
    <w:rsid w:val="5E5A4568"/>
    <w:rsid w:val="64BE2596"/>
    <w:rsid w:val="718975B8"/>
    <w:rsid w:val="73103743"/>
    <w:rsid w:val="76005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0"/>
    <w:qFormat/>
    <w:uiPriority w:val="0"/>
    <w:pPr>
      <w:keepNext/>
      <w:keepLines/>
      <w:tabs>
        <w:tab w:val="left" w:pos="420"/>
      </w:tabs>
      <w:outlineLvl w:val="0"/>
    </w:pPr>
    <w:rPr>
      <w:rFonts w:ascii="Times New Roman" w:hAnsi="Times New Roman" w:eastAsia="黑体" w:cs="Times New Roman"/>
      <w:bCs/>
      <w:kern w:val="44"/>
      <w:sz w:val="30"/>
      <w:szCs w:val="44"/>
    </w:rPr>
  </w:style>
  <w:style w:type="character" w:default="1" w:styleId="7">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眉 Char"/>
    <w:basedOn w:val="7"/>
    <w:link w:val="4"/>
    <w:qFormat/>
    <w:uiPriority w:val="0"/>
    <w:rPr>
      <w:kern w:val="2"/>
      <w:sz w:val="18"/>
      <w:szCs w:val="18"/>
    </w:rPr>
  </w:style>
  <w:style w:type="character" w:customStyle="1" w:styleId="10">
    <w:name w:val="标题 1 Char"/>
    <w:basedOn w:val="7"/>
    <w:link w:val="2"/>
    <w:qFormat/>
    <w:uiPriority w:val="0"/>
    <w:rPr>
      <w:rFonts w:ascii="Times New Roman" w:hAnsi="Times New Roman" w:eastAsia="黑体" w:cs="Times New Roman"/>
      <w:bCs/>
      <w:kern w:val="44"/>
      <w:sz w:val="30"/>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144</Words>
  <Characters>822</Characters>
  <Lines>6</Lines>
  <Paragraphs>1</Paragraphs>
  <TotalTime>12</TotalTime>
  <ScaleCrop>false</ScaleCrop>
  <LinksUpToDate>false</LinksUpToDate>
  <CharactersWithSpaces>965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2022-10-09T07:45:00Z</dcterms:created>
  <dc:creator>JS</dc:creator>
  <cp:lastModifiedBy>YWB</cp:lastModifiedBy>
  <dcterms:modified xsi:type="dcterms:W3CDTF">2022-10-11T02:28:20Z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24558CB58A084D57A49F7D505408A005</vt:lpwstr>
  </property>
</Properties>
</file>