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电动自行车</w:t>
      </w:r>
      <w:r>
        <w:rPr>
          <w:rFonts w:hint="eastAsia" w:eastAsia="方正小标宋简体"/>
          <w:color w:val="000000"/>
          <w:sz w:val="32"/>
          <w:szCs w:val="32"/>
        </w:rPr>
        <w:t>产品</w:t>
      </w: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抽样</w:t>
      </w:r>
      <w:r>
        <w:rPr>
          <w:rFonts w:hint="eastAsia" w:ascii="宋体" w:hAnsi="宋体"/>
          <w:b/>
          <w:bCs/>
          <w:szCs w:val="21"/>
        </w:rPr>
        <w:t>方法</w:t>
      </w:r>
    </w:p>
    <w:p>
      <w:pPr>
        <w:snapToGrid w:val="0"/>
        <w:spacing w:line="360" w:lineRule="auto"/>
        <w:ind w:firstLine="420" w:firstLineChars="200"/>
        <w:rPr>
          <w:rFonts w:hint="eastAsia"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snapToGrid w:val="0"/>
        <w:spacing w:line="440" w:lineRule="exact"/>
        <w:ind w:firstLine="420" w:firstLineChars="200"/>
        <w:rPr>
          <w:szCs w:val="21"/>
        </w:rPr>
      </w:pPr>
      <w:r>
        <w:rPr>
          <w:szCs w:val="21"/>
        </w:rPr>
        <w:t>随机数一般可使用随机数表等方法产生。</w:t>
      </w:r>
    </w:p>
    <w:p>
      <w:pPr>
        <w:snapToGrid w:val="0"/>
        <w:spacing w:line="440" w:lineRule="exact"/>
        <w:ind w:firstLine="420" w:firstLineChars="200"/>
        <w:rPr>
          <w:rFonts w:hAnsi="宋体"/>
          <w:szCs w:val="21"/>
        </w:rPr>
      </w:pPr>
      <w:r>
        <w:rPr>
          <w:rFonts w:hint="eastAsia"/>
          <w:szCs w:val="21"/>
        </w:rPr>
        <w:t>每</w:t>
      </w:r>
      <w:r>
        <w:rPr>
          <w:rFonts w:hint="eastAsia"/>
          <w:sz w:val="21"/>
          <w:szCs w:val="21"/>
        </w:rPr>
        <w:t>一抽检</w:t>
      </w:r>
      <w:r>
        <w:rPr>
          <w:rFonts w:hint="eastAsia"/>
          <w:szCs w:val="21"/>
        </w:rPr>
        <w:t>批次产品抽取样品2辆，其中1辆作为检验样品，1辆作为备用样品。</w:t>
      </w:r>
    </w:p>
    <w:p>
      <w:pPr>
        <w:spacing w:line="360" w:lineRule="auto"/>
        <w:rPr>
          <w:rFonts w:ascii="宋体" w:hAnsi="宋体"/>
          <w:b/>
          <w:bCs/>
          <w:szCs w:val="21"/>
        </w:rPr>
      </w:pPr>
      <w:r>
        <w:rPr>
          <w:b/>
          <w:bCs/>
          <w:szCs w:val="21"/>
        </w:rPr>
        <w:t>2</w:t>
      </w:r>
      <w:r>
        <w:rPr>
          <w:rFonts w:hint="eastAsia"/>
          <w:b/>
          <w:bCs/>
          <w:szCs w:val="21"/>
        </w:rPr>
        <w:t>、</w:t>
      </w:r>
      <w:r>
        <w:rPr>
          <w:rFonts w:ascii="宋体" w:hAnsi="宋体"/>
          <w:b/>
          <w:bCs/>
          <w:szCs w:val="21"/>
        </w:rPr>
        <w:t>检验</w:t>
      </w:r>
      <w:r>
        <w:rPr>
          <w:rFonts w:hint="eastAsia" w:ascii="宋体" w:hAnsi="宋体"/>
          <w:b/>
          <w:bCs/>
          <w:szCs w:val="21"/>
        </w:rPr>
        <w:t>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表3</w:t>
      </w:r>
      <w:r>
        <w:rPr>
          <w:rFonts w:hAnsi="宋体"/>
          <w:szCs w:val="21"/>
        </w:rPr>
        <w:t>。</w:t>
      </w:r>
    </w:p>
    <w:p>
      <w:pPr>
        <w:snapToGrid w:val="0"/>
        <w:spacing w:line="440" w:lineRule="exact"/>
        <w:ind w:left="0" w:leftChars="0" w:firstLine="0" w:firstLineChars="0"/>
        <w:jc w:val="center"/>
        <w:rPr>
          <w:rFonts w:hint="default" w:eastAsia="宋体" w:cs="Times New Roman"/>
          <w:szCs w:val="21"/>
          <w:lang w:val="en-US" w:eastAsia="zh-CN"/>
        </w:rPr>
      </w:pPr>
      <w:r>
        <w:rPr>
          <w:szCs w:val="21"/>
        </w:rPr>
        <w:t>表</w:t>
      </w:r>
      <w:r>
        <w:rPr>
          <w:rFonts w:hint="eastAsia"/>
          <w:szCs w:val="21"/>
        </w:rPr>
        <w:t>2</w:t>
      </w:r>
      <w:r>
        <w:t xml:space="preserve">  </w:t>
      </w:r>
      <w:r>
        <w:rPr>
          <w:rFonts w:hint="eastAsia"/>
          <w:szCs w:val="21"/>
          <w:lang w:val="en-US" w:eastAsia="zh-CN"/>
        </w:rPr>
        <w:t>电动自行车</w:t>
      </w:r>
      <w:r>
        <w:rPr>
          <w:szCs w:val="21"/>
        </w:rPr>
        <w:t>检验项目</w:t>
      </w:r>
      <w:r>
        <w:rPr>
          <w:rFonts w:hint="eastAsia" w:eastAsia="宋体" w:cs="Times New Roman"/>
          <w:szCs w:val="21"/>
          <w:lang w:val="en-US" w:eastAsia="zh-CN"/>
        </w:rPr>
        <w:t>（GB 17761-2018)</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66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trPr>
        <w:tc>
          <w:tcPr>
            <w:tcW w:w="467" w:type="pct"/>
            <w:noWrap w:val="0"/>
            <w:vAlign w:val="center"/>
          </w:tcPr>
          <w:p>
            <w:pPr>
              <w:spacing w:line="440" w:lineRule="exact"/>
              <w:jc w:val="center"/>
              <w:textAlignment w:val="center"/>
              <w:rPr>
                <w:rFonts w:ascii="Times New Roman" w:hAnsi="Times New Roman"/>
                <w:szCs w:val="21"/>
              </w:rPr>
            </w:pPr>
            <w:r>
              <w:rPr>
                <w:rFonts w:ascii="Times New Roman" w:hAnsi="Times New Roman"/>
              </w:rPr>
              <w:t>序号</w:t>
            </w:r>
          </w:p>
        </w:tc>
        <w:tc>
          <w:tcPr>
            <w:tcW w:w="3052" w:type="pct"/>
            <w:noWrap w:val="0"/>
            <w:vAlign w:val="center"/>
          </w:tcPr>
          <w:p>
            <w:pPr>
              <w:spacing w:line="440" w:lineRule="exact"/>
              <w:jc w:val="center"/>
              <w:textAlignment w:val="center"/>
              <w:rPr>
                <w:rFonts w:ascii="Times New Roman" w:hAnsi="Times New Roman"/>
                <w:szCs w:val="21"/>
              </w:rPr>
            </w:pPr>
            <w:r>
              <w:rPr>
                <w:rFonts w:ascii="Times New Roman" w:hAnsi="Times New Roman"/>
              </w:rPr>
              <w:t>检验项目</w:t>
            </w:r>
          </w:p>
        </w:tc>
        <w:tc>
          <w:tcPr>
            <w:tcW w:w="1480" w:type="pct"/>
            <w:noWrap w:val="0"/>
            <w:vAlign w:val="center"/>
          </w:tcPr>
          <w:p>
            <w:pPr>
              <w:spacing w:line="440" w:lineRule="exact"/>
              <w:jc w:val="center"/>
              <w:textAlignment w:val="center"/>
              <w:rPr>
                <w:rFonts w:ascii="Times New Roman" w:hAnsi="Times New Roman"/>
                <w:szCs w:val="21"/>
              </w:rPr>
            </w:pPr>
            <w:r>
              <w:rPr>
                <w:rFonts w:ascii="Times New Roman" w:hAnsi="Times New Roman"/>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3052" w:type="pct"/>
            <w:noWrap w:val="0"/>
            <w:vAlign w:val="center"/>
          </w:tcPr>
          <w:p>
            <w:pPr>
              <w:jc w:val="center"/>
              <w:rPr>
                <w:rFonts w:ascii="Calibri" w:hAnsi="Calibri"/>
                <w:color w:val="000000"/>
                <w:kern w:val="2"/>
                <w:sz w:val="21"/>
                <w:szCs w:val="21"/>
                <w:lang w:val="en-US" w:eastAsia="zh-CN" w:bidi="ar-SA"/>
              </w:rPr>
            </w:pPr>
            <w:r>
              <w:rPr>
                <w:rFonts w:hint="eastAsia"/>
                <w:szCs w:val="21"/>
              </w:rPr>
              <w:t>标识与警示语</w:t>
            </w:r>
          </w:p>
        </w:tc>
        <w:tc>
          <w:tcPr>
            <w:tcW w:w="1480" w:type="pct"/>
            <w:noWrap w:val="0"/>
            <w:vAlign w:val="center"/>
          </w:tcPr>
          <w:p>
            <w:pPr>
              <w:jc w:val="center"/>
              <w:rPr>
                <w:rFonts w:ascii="Calibri" w:hAnsi="Calibri"/>
                <w:kern w:val="2"/>
                <w:sz w:val="21"/>
                <w:szCs w:val="21"/>
                <w:lang w:val="en-US" w:eastAsia="zh-CN" w:bidi="ar-SA"/>
              </w:rPr>
            </w:pPr>
            <w:r>
              <w:rPr>
                <w:rFonts w:hint="eastAsia"/>
                <w:szCs w:val="21"/>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3052" w:type="pct"/>
            <w:noWrap w:val="0"/>
            <w:vAlign w:val="center"/>
          </w:tcPr>
          <w:p>
            <w:pPr>
              <w:jc w:val="center"/>
              <w:rPr>
                <w:rFonts w:ascii="Calibri" w:hAnsi="Calibri"/>
                <w:color w:val="000000"/>
                <w:kern w:val="2"/>
                <w:sz w:val="21"/>
                <w:szCs w:val="21"/>
                <w:lang w:val="en-US" w:eastAsia="zh-CN" w:bidi="ar-SA"/>
              </w:rPr>
            </w:pPr>
            <w:r>
              <w:rPr>
                <w:szCs w:val="21"/>
              </w:rPr>
              <w:t>车速限值</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3</w:t>
            </w:r>
          </w:p>
        </w:tc>
        <w:tc>
          <w:tcPr>
            <w:tcW w:w="3052" w:type="pct"/>
            <w:noWrap w:val="0"/>
            <w:vAlign w:val="center"/>
          </w:tcPr>
          <w:p>
            <w:pPr>
              <w:jc w:val="center"/>
              <w:rPr>
                <w:rFonts w:ascii="Calibri" w:hAnsi="Calibri"/>
                <w:color w:val="000000"/>
                <w:kern w:val="2"/>
                <w:sz w:val="21"/>
                <w:szCs w:val="21"/>
                <w:lang w:val="en-US" w:eastAsia="zh-CN" w:bidi="ar-SA"/>
              </w:rPr>
            </w:pPr>
            <w:r>
              <w:rPr>
                <w:szCs w:val="21"/>
              </w:rPr>
              <w:t>制动性能(干态)</w:t>
            </w:r>
          </w:p>
        </w:tc>
        <w:tc>
          <w:tcPr>
            <w:tcW w:w="1480" w:type="pct"/>
            <w:noWrap w:val="0"/>
            <w:vAlign w:val="center"/>
          </w:tcPr>
          <w:p>
            <w:pPr>
              <w:jc w:val="center"/>
              <w:rPr>
                <w:szCs w:val="21"/>
              </w:rPr>
            </w:pPr>
            <w:r>
              <w:rPr>
                <w:szCs w:val="21"/>
              </w:rPr>
              <w:t>GB 17761</w:t>
            </w:r>
            <w:r>
              <w:rPr>
                <w:rFonts w:hint="eastAsia"/>
                <w:szCs w:val="21"/>
              </w:rPr>
              <w:t>—</w:t>
            </w:r>
            <w:r>
              <w:rPr>
                <w:szCs w:val="21"/>
              </w:rPr>
              <w:t>2018</w:t>
            </w:r>
          </w:p>
          <w:p>
            <w:pPr>
              <w:jc w:val="center"/>
              <w:rPr>
                <w:rFonts w:hint="default" w:ascii="Calibri" w:hAnsi="Calibri"/>
                <w:kern w:val="2"/>
                <w:sz w:val="21"/>
                <w:szCs w:val="21"/>
                <w:lang w:val="en-US" w:eastAsia="zh-CN" w:bidi="ar-SA"/>
              </w:rPr>
            </w:pPr>
            <w:r>
              <w:rPr>
                <w:szCs w:val="21"/>
              </w:rPr>
              <w:t>GB 3565</w:t>
            </w:r>
            <w:r>
              <w:rPr>
                <w:rFonts w:hint="eastAsia"/>
                <w:szCs w:val="21"/>
              </w:rPr>
              <w:t>—</w:t>
            </w:r>
            <w:r>
              <w:rPr>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3052" w:type="pct"/>
            <w:noWrap w:val="0"/>
            <w:vAlign w:val="center"/>
          </w:tcPr>
          <w:p>
            <w:pPr>
              <w:jc w:val="center"/>
              <w:rPr>
                <w:rFonts w:ascii="Calibri" w:hAnsi="Calibri"/>
                <w:color w:val="000000"/>
                <w:kern w:val="2"/>
                <w:sz w:val="21"/>
                <w:szCs w:val="21"/>
                <w:lang w:val="en-US" w:eastAsia="zh-CN" w:bidi="ar-SA"/>
              </w:rPr>
            </w:pPr>
            <w:r>
              <w:rPr>
                <w:szCs w:val="21"/>
              </w:rPr>
              <w:t>整车质量</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5</w:t>
            </w:r>
          </w:p>
        </w:tc>
        <w:tc>
          <w:tcPr>
            <w:tcW w:w="3052" w:type="pct"/>
            <w:noWrap w:val="0"/>
            <w:vAlign w:val="center"/>
          </w:tcPr>
          <w:p>
            <w:pPr>
              <w:jc w:val="center"/>
              <w:rPr>
                <w:rFonts w:ascii="Calibri" w:hAnsi="Calibri"/>
                <w:color w:val="000000"/>
                <w:kern w:val="2"/>
                <w:sz w:val="21"/>
                <w:szCs w:val="21"/>
                <w:lang w:val="en-US" w:eastAsia="zh-CN" w:bidi="ar-SA"/>
              </w:rPr>
            </w:pPr>
            <w:r>
              <w:rPr>
                <w:szCs w:val="21"/>
              </w:rPr>
              <w:t>结构</w:t>
            </w:r>
          </w:p>
        </w:tc>
        <w:tc>
          <w:tcPr>
            <w:tcW w:w="1480" w:type="pct"/>
            <w:noWrap w:val="0"/>
            <w:vAlign w:val="center"/>
          </w:tcPr>
          <w:p>
            <w:pPr>
              <w:jc w:val="center"/>
              <w:rPr>
                <w:szCs w:val="21"/>
              </w:rPr>
            </w:pPr>
            <w:r>
              <w:rPr>
                <w:szCs w:val="21"/>
              </w:rPr>
              <w:t>GB 17761</w:t>
            </w:r>
            <w:r>
              <w:rPr>
                <w:rFonts w:hint="eastAsia"/>
                <w:szCs w:val="21"/>
              </w:rPr>
              <w:t>—</w:t>
            </w:r>
            <w:r>
              <w:rPr>
                <w:szCs w:val="21"/>
              </w:rPr>
              <w:t>2018</w:t>
            </w:r>
          </w:p>
          <w:p>
            <w:pPr>
              <w:jc w:val="center"/>
              <w:rPr>
                <w:rFonts w:hint="eastAsia" w:ascii="Calibri" w:hAnsi="Calibri"/>
                <w:kern w:val="2"/>
                <w:sz w:val="21"/>
                <w:szCs w:val="21"/>
                <w:lang w:val="en-US" w:eastAsia="zh-CN" w:bidi="ar-SA"/>
              </w:rPr>
            </w:pPr>
            <w:r>
              <w:rPr>
                <w:szCs w:val="21"/>
              </w:rPr>
              <w:t>GB 3565</w:t>
            </w:r>
            <w:r>
              <w:rPr>
                <w:rFonts w:hint="eastAsia"/>
                <w:szCs w:val="21"/>
              </w:rPr>
              <w:t>—</w:t>
            </w:r>
            <w:r>
              <w:rPr>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3052" w:type="pct"/>
            <w:noWrap w:val="0"/>
            <w:vAlign w:val="center"/>
          </w:tcPr>
          <w:p>
            <w:pPr>
              <w:jc w:val="center"/>
              <w:rPr>
                <w:rFonts w:ascii="Calibri" w:hAnsi="Calibri"/>
                <w:color w:val="000000"/>
                <w:kern w:val="2"/>
                <w:sz w:val="21"/>
                <w:szCs w:val="21"/>
                <w:lang w:val="en-US" w:eastAsia="zh-CN" w:bidi="ar-SA"/>
              </w:rPr>
            </w:pPr>
            <w:r>
              <w:rPr>
                <w:szCs w:val="21"/>
              </w:rPr>
              <w:t>车速提示音</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7</w:t>
            </w:r>
          </w:p>
        </w:tc>
        <w:tc>
          <w:tcPr>
            <w:tcW w:w="3052" w:type="pct"/>
            <w:noWrap w:val="0"/>
            <w:vAlign w:val="center"/>
          </w:tcPr>
          <w:p>
            <w:pPr>
              <w:jc w:val="center"/>
              <w:rPr>
                <w:rFonts w:ascii="Calibri" w:hAnsi="Calibri"/>
                <w:color w:val="000000"/>
                <w:kern w:val="2"/>
                <w:sz w:val="21"/>
                <w:szCs w:val="21"/>
                <w:lang w:val="en-US" w:eastAsia="zh-CN" w:bidi="ar-SA"/>
              </w:rPr>
            </w:pPr>
            <w:r>
              <w:rPr>
                <w:rFonts w:hint="eastAsia"/>
                <w:szCs w:val="21"/>
              </w:rPr>
              <w:t>互认协同充电</w:t>
            </w:r>
          </w:p>
        </w:tc>
        <w:tc>
          <w:tcPr>
            <w:tcW w:w="1480" w:type="pct"/>
            <w:noWrap w:val="0"/>
            <w:vAlign w:val="center"/>
          </w:tcPr>
          <w:p>
            <w:pPr>
              <w:jc w:val="center"/>
              <w:rPr>
                <w:rFonts w:hint="eastAsia" w:ascii="Calibri" w:hAnsi="Calibri"/>
                <w:kern w:val="2"/>
                <w:sz w:val="21"/>
                <w:szCs w:val="21"/>
                <w:lang w:val="en-US" w:eastAsia="zh-CN" w:bidi="ar-SA"/>
              </w:rPr>
            </w:pPr>
            <w:r>
              <w:rPr>
                <w:rFonts w:hint="eastAsia"/>
                <w:szCs w:val="21"/>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8</w:t>
            </w:r>
          </w:p>
        </w:tc>
        <w:tc>
          <w:tcPr>
            <w:tcW w:w="3052" w:type="pct"/>
            <w:noWrap w:val="0"/>
            <w:vAlign w:val="center"/>
          </w:tcPr>
          <w:p>
            <w:pPr>
              <w:jc w:val="center"/>
              <w:rPr>
                <w:rFonts w:ascii="Calibri" w:hAnsi="Calibri"/>
                <w:color w:val="000000"/>
                <w:kern w:val="2"/>
                <w:sz w:val="21"/>
                <w:szCs w:val="21"/>
                <w:lang w:val="en-US" w:eastAsia="zh-CN" w:bidi="ar-SA"/>
              </w:rPr>
            </w:pPr>
            <w:r>
              <w:rPr>
                <w:rFonts w:hint="eastAsia"/>
                <w:szCs w:val="21"/>
              </w:rPr>
              <w:t>布线</w:t>
            </w:r>
          </w:p>
        </w:tc>
        <w:tc>
          <w:tcPr>
            <w:tcW w:w="1480" w:type="pct"/>
            <w:noWrap w:val="0"/>
            <w:vAlign w:val="center"/>
          </w:tcPr>
          <w:p>
            <w:pPr>
              <w:jc w:val="center"/>
              <w:rPr>
                <w:rFonts w:hint="eastAsia" w:ascii="Calibri" w:hAnsi="Calibri"/>
                <w:kern w:val="2"/>
                <w:sz w:val="21"/>
                <w:szCs w:val="21"/>
                <w:lang w:val="en-US" w:eastAsia="zh-CN" w:bidi="ar-SA"/>
              </w:rPr>
            </w:pPr>
            <w:r>
              <w:rPr>
                <w:rFonts w:hint="eastAsia"/>
                <w:szCs w:val="21"/>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9</w:t>
            </w:r>
          </w:p>
        </w:tc>
        <w:tc>
          <w:tcPr>
            <w:tcW w:w="3052" w:type="pct"/>
            <w:noWrap w:val="0"/>
            <w:vAlign w:val="center"/>
          </w:tcPr>
          <w:p>
            <w:pPr>
              <w:jc w:val="center"/>
              <w:rPr>
                <w:rFonts w:ascii="Calibri" w:hAnsi="Calibri"/>
                <w:color w:val="000000"/>
                <w:kern w:val="2"/>
                <w:sz w:val="21"/>
                <w:szCs w:val="21"/>
                <w:lang w:val="en-US" w:eastAsia="zh-CN" w:bidi="ar-SA"/>
              </w:rPr>
            </w:pPr>
            <w:r>
              <w:rPr>
                <w:szCs w:val="21"/>
              </w:rPr>
              <w:t>电气装置</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10</w:t>
            </w:r>
          </w:p>
        </w:tc>
        <w:tc>
          <w:tcPr>
            <w:tcW w:w="3052" w:type="pct"/>
            <w:noWrap w:val="0"/>
            <w:vAlign w:val="center"/>
          </w:tcPr>
          <w:p>
            <w:pPr>
              <w:jc w:val="center"/>
              <w:rPr>
                <w:rFonts w:ascii="Calibri" w:hAnsi="Calibri"/>
                <w:color w:val="000000"/>
                <w:kern w:val="2"/>
                <w:sz w:val="21"/>
                <w:szCs w:val="21"/>
                <w:lang w:val="en-US" w:eastAsia="zh-CN" w:bidi="ar-SA"/>
              </w:rPr>
            </w:pPr>
            <w:r>
              <w:rPr>
                <w:szCs w:val="21"/>
              </w:rPr>
              <w:t>充电器与蓄电池</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11</w:t>
            </w:r>
          </w:p>
        </w:tc>
        <w:tc>
          <w:tcPr>
            <w:tcW w:w="3052" w:type="pct"/>
            <w:noWrap w:val="0"/>
            <w:vAlign w:val="center"/>
          </w:tcPr>
          <w:p>
            <w:pPr>
              <w:jc w:val="center"/>
              <w:rPr>
                <w:rFonts w:ascii="Calibri" w:hAnsi="Calibri"/>
                <w:color w:val="000000"/>
                <w:kern w:val="2"/>
                <w:sz w:val="21"/>
                <w:szCs w:val="21"/>
                <w:lang w:val="en-US" w:eastAsia="zh-CN" w:bidi="ar-SA"/>
              </w:rPr>
            </w:pPr>
            <w:r>
              <w:rPr>
                <w:szCs w:val="21"/>
              </w:rPr>
              <w:t>淋水涉水性能</w:t>
            </w:r>
          </w:p>
        </w:tc>
        <w:tc>
          <w:tcPr>
            <w:tcW w:w="1480" w:type="pct"/>
            <w:noWrap w:val="0"/>
            <w:vAlign w:val="center"/>
          </w:tcPr>
          <w:p>
            <w:pPr>
              <w:jc w:val="center"/>
              <w:rPr>
                <w:rFonts w:hint="eastAsia" w:ascii="Calibri" w:hAnsi="Calibri"/>
                <w:kern w:val="2"/>
                <w:sz w:val="21"/>
                <w:szCs w:val="21"/>
                <w:lang w:val="en-US" w:eastAsia="zh-CN" w:bidi="ar-SA"/>
              </w:rPr>
            </w:pPr>
            <w:r>
              <w:rPr>
                <w:szCs w:val="21"/>
              </w:rPr>
              <w:t>GB 17761</w:t>
            </w:r>
            <w:r>
              <w:rPr>
                <w:rFonts w:hint="eastAsia"/>
                <w:szCs w:val="21"/>
              </w:rPr>
              <w:t>—</w:t>
            </w:r>
            <w:r>
              <w:rPr>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szCs w:val="21"/>
              </w:rPr>
            </w:pPr>
            <w:r>
              <w:rPr>
                <w:rFonts w:ascii="Times New Roman" w:hAnsi="Times New Roman"/>
                <w:color w:val="000000"/>
                <w:szCs w:val="21"/>
              </w:rPr>
              <w:t>12</w:t>
            </w:r>
          </w:p>
        </w:tc>
        <w:tc>
          <w:tcPr>
            <w:tcW w:w="3052" w:type="pct"/>
            <w:noWrap w:val="0"/>
            <w:vAlign w:val="center"/>
          </w:tcPr>
          <w:p>
            <w:pPr>
              <w:jc w:val="center"/>
              <w:rPr>
                <w:rFonts w:hint="eastAsia" w:ascii="Calibri" w:hAnsi="Calibri"/>
                <w:kern w:val="2"/>
                <w:sz w:val="21"/>
                <w:szCs w:val="21"/>
                <w:lang w:val="en-US" w:eastAsia="zh-CN" w:bidi="ar-SA"/>
              </w:rPr>
            </w:pPr>
            <w:r>
              <w:rPr>
                <w:rFonts w:hint="eastAsia"/>
                <w:szCs w:val="21"/>
              </w:rPr>
              <w:t>对触及带电部分的防护</w:t>
            </w:r>
          </w:p>
        </w:tc>
        <w:tc>
          <w:tcPr>
            <w:tcW w:w="1480" w:type="pct"/>
            <w:noWrap w:val="0"/>
            <w:vAlign w:val="center"/>
          </w:tcPr>
          <w:p>
            <w:pPr>
              <w:jc w:val="center"/>
              <w:rPr>
                <w:rFonts w:hint="eastAsia"/>
                <w:szCs w:val="21"/>
              </w:rPr>
            </w:pPr>
            <w:r>
              <w:rPr>
                <w:rFonts w:hint="eastAsia"/>
                <w:szCs w:val="21"/>
              </w:rPr>
              <w:t>GB 42295—2022及其第1号修改单</w:t>
            </w:r>
          </w:p>
          <w:p>
            <w:pPr>
              <w:jc w:val="center"/>
              <w:rPr>
                <w:rFonts w:hint="eastAsia"/>
                <w:szCs w:val="21"/>
              </w:rPr>
            </w:pPr>
            <w:r>
              <w:rPr>
                <w:rFonts w:hint="eastAsia"/>
                <w:szCs w:val="21"/>
              </w:rPr>
              <w:t>GB/T 4208—2017</w:t>
            </w:r>
          </w:p>
          <w:p>
            <w:pPr>
              <w:jc w:val="center"/>
              <w:rPr>
                <w:rFonts w:hint="eastAsia" w:ascii="Calibri" w:hAnsi="Calibri"/>
                <w:kern w:val="2"/>
                <w:sz w:val="21"/>
                <w:szCs w:val="21"/>
                <w:lang w:val="en-US" w:eastAsia="zh-CN" w:bidi="ar-SA"/>
              </w:rPr>
            </w:pPr>
            <w:r>
              <w:rPr>
                <w:rFonts w:hint="eastAsia"/>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kern w:val="2"/>
                <w:sz w:val="21"/>
                <w:szCs w:val="21"/>
                <w:lang w:val="en-US" w:eastAsia="zh-CN" w:bidi="ar-SA"/>
              </w:rPr>
            </w:pPr>
            <w:r>
              <w:rPr>
                <w:rFonts w:ascii="Times New Roman" w:hAnsi="Times New Roman"/>
                <w:color w:val="000000"/>
                <w:szCs w:val="21"/>
              </w:rPr>
              <w:t>13</w:t>
            </w:r>
          </w:p>
        </w:tc>
        <w:tc>
          <w:tcPr>
            <w:tcW w:w="3052" w:type="pct"/>
            <w:noWrap w:val="0"/>
            <w:vAlign w:val="center"/>
          </w:tcPr>
          <w:p>
            <w:pPr>
              <w:jc w:val="center"/>
              <w:rPr>
                <w:rFonts w:hint="eastAsia" w:ascii="Calibri" w:hAnsi="Calibri"/>
                <w:color w:val="000000"/>
                <w:kern w:val="2"/>
                <w:sz w:val="21"/>
                <w:szCs w:val="21"/>
                <w:lang w:val="zh-TW" w:eastAsia="zh-TW" w:bidi="ar-SA"/>
              </w:rPr>
            </w:pPr>
            <w:r>
              <w:rPr>
                <w:rFonts w:hint="eastAsia"/>
                <w:szCs w:val="21"/>
              </w:rPr>
              <w:t>连接</w:t>
            </w:r>
          </w:p>
        </w:tc>
        <w:tc>
          <w:tcPr>
            <w:tcW w:w="1480" w:type="pct"/>
            <w:noWrap w:val="0"/>
            <w:vAlign w:val="center"/>
          </w:tcPr>
          <w:p>
            <w:pPr>
              <w:jc w:val="center"/>
              <w:rPr>
                <w:rFonts w:hint="eastAsia" w:ascii="Calibri" w:hAnsi="Calibri"/>
                <w:kern w:val="2"/>
                <w:sz w:val="21"/>
                <w:szCs w:val="21"/>
                <w:lang w:val="en-US" w:eastAsia="zh-CN" w:bidi="ar-SA"/>
              </w:rPr>
            </w:pPr>
            <w:r>
              <w:rPr>
                <w:rFonts w:hint="eastAsia"/>
                <w:szCs w:val="21"/>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kern w:val="2"/>
                <w:sz w:val="21"/>
                <w:szCs w:val="21"/>
                <w:lang w:val="en-US" w:eastAsia="zh-CN" w:bidi="ar-SA"/>
              </w:rPr>
            </w:pPr>
            <w:r>
              <w:rPr>
                <w:rFonts w:ascii="Times New Roman" w:hAnsi="Times New Roman"/>
                <w:color w:val="000000"/>
                <w:szCs w:val="21"/>
              </w:rPr>
              <w:t>14</w:t>
            </w:r>
          </w:p>
        </w:tc>
        <w:tc>
          <w:tcPr>
            <w:tcW w:w="3052" w:type="pct"/>
            <w:noWrap w:val="0"/>
            <w:vAlign w:val="center"/>
          </w:tcPr>
          <w:p>
            <w:pPr>
              <w:jc w:val="center"/>
              <w:rPr>
                <w:rFonts w:ascii="Calibri" w:hAnsi="Calibri"/>
                <w:color w:val="000000"/>
                <w:kern w:val="2"/>
                <w:sz w:val="21"/>
                <w:szCs w:val="21"/>
                <w:lang w:val="en-US" w:eastAsia="zh-CN" w:bidi="ar-SA"/>
              </w:rPr>
            </w:pPr>
            <w:r>
              <w:rPr>
                <w:szCs w:val="21"/>
              </w:rPr>
              <w:t>反射器、照明和鸣号装置</w:t>
            </w:r>
          </w:p>
        </w:tc>
        <w:tc>
          <w:tcPr>
            <w:tcW w:w="1480" w:type="pct"/>
            <w:noWrap w:val="0"/>
            <w:vAlign w:val="center"/>
          </w:tcPr>
          <w:p>
            <w:pPr>
              <w:jc w:val="center"/>
              <w:rPr>
                <w:szCs w:val="21"/>
              </w:rPr>
            </w:pPr>
            <w:r>
              <w:rPr>
                <w:szCs w:val="21"/>
              </w:rPr>
              <w:t>GB 17761</w:t>
            </w:r>
            <w:r>
              <w:rPr>
                <w:rFonts w:hint="eastAsia"/>
                <w:szCs w:val="21"/>
              </w:rPr>
              <w:t>—</w:t>
            </w:r>
            <w:r>
              <w:rPr>
                <w:szCs w:val="21"/>
              </w:rPr>
              <w:t>2018</w:t>
            </w:r>
          </w:p>
          <w:p>
            <w:pPr>
              <w:jc w:val="center"/>
              <w:rPr>
                <w:rFonts w:hint="eastAsia"/>
                <w:szCs w:val="21"/>
              </w:rPr>
            </w:pPr>
            <w:r>
              <w:rPr>
                <w:szCs w:val="21"/>
              </w:rPr>
              <w:t>GB/T</w:t>
            </w:r>
            <w:r>
              <w:rPr>
                <w:rFonts w:hint="eastAsia"/>
                <w:szCs w:val="21"/>
              </w:rPr>
              <w:t xml:space="preserve"> </w:t>
            </w:r>
            <w:r>
              <w:rPr>
                <w:szCs w:val="21"/>
              </w:rPr>
              <w:t>31887.1</w:t>
            </w:r>
            <w:r>
              <w:rPr>
                <w:rFonts w:hint="eastAsia"/>
                <w:szCs w:val="21"/>
              </w:rPr>
              <w:t>—</w:t>
            </w:r>
            <w:r>
              <w:rPr>
                <w:szCs w:val="21"/>
              </w:rPr>
              <w:t>2019</w:t>
            </w:r>
          </w:p>
          <w:p>
            <w:pPr>
              <w:jc w:val="center"/>
              <w:rPr>
                <w:rFonts w:hint="eastAsia" w:ascii="Calibri" w:hAnsi="Calibri"/>
                <w:kern w:val="2"/>
                <w:sz w:val="21"/>
                <w:szCs w:val="21"/>
                <w:lang w:val="en-US" w:eastAsia="zh-CN" w:bidi="ar-SA"/>
              </w:rPr>
            </w:pPr>
            <w:r>
              <w:rPr>
                <w:szCs w:val="21"/>
              </w:rPr>
              <w:t>GB/T</w:t>
            </w:r>
            <w:r>
              <w:rPr>
                <w:rFonts w:hint="eastAsia"/>
                <w:szCs w:val="21"/>
              </w:rPr>
              <w:t xml:space="preserve"> </w:t>
            </w:r>
            <w:r>
              <w:rPr>
                <w:szCs w:val="21"/>
              </w:rPr>
              <w:t>31887.2</w:t>
            </w:r>
            <w:r>
              <w:rPr>
                <w:rFonts w:hint="eastAsia"/>
                <w:szCs w:val="21"/>
              </w:rPr>
              <w:t>—</w:t>
            </w:r>
            <w:r>
              <w:rPr>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noWrap w:val="0"/>
            <w:vAlign w:val="center"/>
          </w:tcPr>
          <w:p>
            <w:pPr>
              <w:snapToGrid w:val="0"/>
              <w:jc w:val="center"/>
              <w:rPr>
                <w:rFonts w:ascii="Times New Roman" w:hAnsi="Times New Roman"/>
                <w:color w:val="000000"/>
                <w:kern w:val="2"/>
                <w:sz w:val="21"/>
                <w:szCs w:val="21"/>
                <w:lang w:val="en-US" w:eastAsia="zh-CN" w:bidi="ar-SA"/>
              </w:rPr>
            </w:pPr>
            <w:r>
              <w:rPr>
                <w:rFonts w:ascii="Times New Roman" w:hAnsi="Times New Roman"/>
                <w:color w:val="000000"/>
                <w:szCs w:val="21"/>
              </w:rPr>
              <w:t>15</w:t>
            </w:r>
          </w:p>
        </w:tc>
        <w:tc>
          <w:tcPr>
            <w:tcW w:w="3052" w:type="pct"/>
            <w:noWrap w:val="0"/>
            <w:vAlign w:val="center"/>
          </w:tcPr>
          <w:p>
            <w:pPr>
              <w:jc w:val="center"/>
              <w:rPr>
                <w:rFonts w:ascii="Calibri" w:hAnsi="Calibri"/>
                <w:color w:val="000000"/>
                <w:kern w:val="2"/>
                <w:sz w:val="21"/>
                <w:szCs w:val="21"/>
                <w:lang w:val="en-US" w:eastAsia="zh-CN" w:bidi="ar-SA"/>
              </w:rPr>
            </w:pPr>
            <w:r>
              <w:rPr>
                <w:szCs w:val="21"/>
              </w:rPr>
              <w:t>防火性能</w:t>
            </w:r>
          </w:p>
        </w:tc>
        <w:tc>
          <w:tcPr>
            <w:tcW w:w="1480" w:type="pct"/>
            <w:noWrap w:val="0"/>
            <w:vAlign w:val="center"/>
          </w:tcPr>
          <w:p>
            <w:pPr>
              <w:jc w:val="center"/>
              <w:rPr>
                <w:szCs w:val="21"/>
              </w:rPr>
            </w:pPr>
            <w:r>
              <w:rPr>
                <w:szCs w:val="21"/>
              </w:rPr>
              <w:t>GB 17761</w:t>
            </w:r>
            <w:r>
              <w:rPr>
                <w:rFonts w:hint="eastAsia"/>
                <w:szCs w:val="21"/>
              </w:rPr>
              <w:t>—</w:t>
            </w:r>
            <w:r>
              <w:rPr>
                <w:szCs w:val="21"/>
              </w:rPr>
              <w:t>2018</w:t>
            </w:r>
          </w:p>
          <w:p>
            <w:pPr>
              <w:jc w:val="center"/>
              <w:rPr>
                <w:rFonts w:hint="eastAsia" w:ascii="Calibri" w:hAnsi="Calibri"/>
                <w:kern w:val="2"/>
                <w:sz w:val="21"/>
                <w:szCs w:val="21"/>
                <w:lang w:val="en-US" w:eastAsia="zh-CN" w:bidi="ar-SA"/>
              </w:rPr>
            </w:pPr>
            <w:r>
              <w:rPr>
                <w:szCs w:val="21"/>
              </w:rPr>
              <w:t>GB/T 5169.11</w:t>
            </w:r>
            <w:r>
              <w:rPr>
                <w:rFonts w:hint="eastAsia"/>
                <w:szCs w:val="21"/>
              </w:rPr>
              <w:t>—</w:t>
            </w:r>
            <w:r>
              <w:rPr>
                <w:szCs w:val="21"/>
              </w:rPr>
              <w:t>2017</w:t>
            </w:r>
          </w:p>
        </w:tc>
      </w:tr>
    </w:tbl>
    <w:p>
      <w:pPr>
        <w:snapToGrid w:val="0"/>
        <w:spacing w:line="440" w:lineRule="exact"/>
        <w:jc w:val="center"/>
        <w:rPr>
          <w:rFonts w:hint="eastAsia" w:eastAsia="宋体" w:cs="Times New Roman"/>
          <w:szCs w:val="21"/>
          <w:lang w:val="en-US" w:eastAsia="zh-CN"/>
        </w:rPr>
      </w:pPr>
      <w:r>
        <w:rPr>
          <w:szCs w:val="21"/>
        </w:rPr>
        <w:t>表</w:t>
      </w:r>
      <w:r>
        <w:rPr>
          <w:rFonts w:hint="eastAsia"/>
          <w:szCs w:val="21"/>
          <w:lang w:val="en-US" w:eastAsia="zh-CN"/>
        </w:rPr>
        <w:t>3</w:t>
      </w:r>
      <w:r>
        <w:t xml:space="preserve">  </w:t>
      </w:r>
      <w:r>
        <w:rPr>
          <w:rFonts w:hint="eastAsia"/>
          <w:szCs w:val="21"/>
          <w:lang w:val="en-US" w:eastAsia="zh-CN"/>
        </w:rPr>
        <w:t>电动自行车</w:t>
      </w:r>
      <w:r>
        <w:rPr>
          <w:szCs w:val="21"/>
        </w:rPr>
        <w:t>检验项目</w:t>
      </w:r>
      <w:r>
        <w:rPr>
          <w:rFonts w:hint="eastAsia" w:eastAsia="宋体" w:cs="Times New Roman"/>
          <w:szCs w:val="21"/>
          <w:lang w:val="en-US" w:eastAsia="zh-CN"/>
        </w:rPr>
        <w:t>（GB 17761-20</w:t>
      </w:r>
      <w:r>
        <w:rPr>
          <w:rFonts w:hint="eastAsia" w:cs="Times New Roman"/>
          <w:szCs w:val="21"/>
          <w:lang w:val="en-US" w:eastAsia="zh-CN"/>
        </w:rPr>
        <w:t>24</w:t>
      </w:r>
      <w:r>
        <w:rPr>
          <w:rFonts w:hint="eastAsia" w:eastAsia="宋体" w:cs="Times New Roman"/>
          <w:szCs w:val="21"/>
          <w:lang w:val="en-US"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66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textAlignment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序号</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textAlignment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检验项目</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textAlignment w:val="center"/>
              <w:rPr>
                <w:rFonts w:hint="default" w:ascii="Times New Roman" w:hAnsi="Times New Roman" w:cs="Times New Roman"/>
                <w:kern w:val="2"/>
                <w:sz w:val="21"/>
                <w:szCs w:val="21"/>
              </w:rPr>
            </w:pPr>
            <w:r>
              <w:rPr>
                <w:rFonts w:hint="eastAsia" w:ascii="宋体" w:hAnsi="宋体" w:eastAsia="宋体" w:cs="宋体"/>
                <w:color w:val="000000"/>
                <w:kern w:val="2"/>
                <w:sz w:val="21"/>
                <w:szCs w:val="21"/>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1</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标识与警示语</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kern w:val="2"/>
                <w:sz w:val="21"/>
                <w:szCs w:val="21"/>
              </w:rPr>
            </w:pPr>
            <w:r>
              <w:rPr>
                <w:rFonts w:hint="default" w:ascii="Calibri" w:hAnsi="Calibri" w:eastAsia="宋体" w:cs="Calibri"/>
                <w:kern w:val="2"/>
                <w:sz w:val="21"/>
                <w:szCs w:val="21"/>
                <w:lang w:val="en-US" w:eastAsia="zh-CN" w:bidi="ar"/>
              </w:rPr>
              <w:t>GB 42295</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2022</w:t>
            </w:r>
            <w:r>
              <w:rPr>
                <w:rFonts w:hint="eastAsia" w:ascii="宋体" w:hAnsi="宋体" w:eastAsia="宋体" w:cs="宋体"/>
                <w:kern w:val="2"/>
                <w:sz w:val="21"/>
                <w:szCs w:val="21"/>
                <w:lang w:val="en-US" w:eastAsia="zh-CN" w:bidi="ar"/>
              </w:rPr>
              <w:t>及其第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2</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车速限值</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宋体"/>
                <w:kern w:val="2"/>
                <w:sz w:val="21"/>
                <w:szCs w:val="21"/>
                <w:lang w:val="en-US"/>
              </w:rPr>
            </w:pPr>
            <w:r>
              <w:rPr>
                <w:rFonts w:hint="default" w:ascii="Calibri" w:hAnsi="Calibri" w:cs="Calibri"/>
                <w:kern w:val="2"/>
                <w:sz w:val="21"/>
                <w:szCs w:val="21"/>
                <w:lang w:val="en-US" w:eastAsia="zh-CN" w:bidi="ar"/>
              </w:rPr>
              <w:t>GB 17761</w:t>
            </w:r>
            <w:r>
              <w:rPr>
                <w:rFonts w:hint="eastAsia" w:ascii="宋体" w:hAnsi="宋体" w:eastAsia="宋体" w:cs="宋体"/>
                <w:kern w:val="2"/>
                <w:sz w:val="21"/>
                <w:szCs w:val="21"/>
                <w:lang w:val="en-US" w:eastAsia="zh-CN" w:bidi="ar"/>
              </w:rPr>
              <w:t>—</w:t>
            </w:r>
            <w:r>
              <w:rPr>
                <w:rFonts w:hint="eastAsia" w:cs="Calibri"/>
                <w:kern w:val="2"/>
                <w:sz w:val="21"/>
                <w:szCs w:val="21"/>
                <w:lang w:val="en-US" w:eastAsia="zh-CN"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3</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制动性能</w:t>
            </w:r>
            <w:r>
              <w:rPr>
                <w:rFonts w:hint="default" w:ascii="Calibri" w:hAnsi="Calibri" w:cs="Calibri"/>
                <w:kern w:val="2"/>
                <w:sz w:val="21"/>
                <w:szCs w:val="21"/>
                <w:lang w:val="en-US" w:eastAsia="zh-CN" w:bidi="ar"/>
              </w:rPr>
              <w:t>(</w:t>
            </w:r>
            <w:r>
              <w:rPr>
                <w:rFonts w:hint="eastAsia" w:ascii="宋体" w:hAnsi="宋体" w:eastAsia="宋体" w:cs="宋体"/>
                <w:kern w:val="2"/>
                <w:sz w:val="21"/>
                <w:szCs w:val="21"/>
                <w:lang w:val="en-US" w:eastAsia="zh-CN" w:bidi="ar"/>
              </w:rPr>
              <w:t>干态</w:t>
            </w:r>
            <w:r>
              <w:rPr>
                <w:rFonts w:hint="default" w:ascii="Calibri" w:hAnsi="Calibri" w:cs="Calibri"/>
                <w:kern w:val="2"/>
                <w:sz w:val="21"/>
                <w:szCs w:val="21"/>
                <w:lang w:val="en-US" w:eastAsia="zh-CN" w:bidi="ar"/>
              </w:rPr>
              <w:t>)</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kern w:val="2"/>
                <w:sz w:val="21"/>
                <w:szCs w:val="21"/>
                <w:lang w:val="en-US" w:eastAsia="zh-CN" w:bidi="ar"/>
              </w:rPr>
            </w:pPr>
            <w:r>
              <w:rPr>
                <w:rFonts w:hint="default" w:ascii="Calibri" w:hAnsi="Calibri" w:cs="Calibri"/>
                <w:kern w:val="2"/>
                <w:sz w:val="21"/>
                <w:szCs w:val="21"/>
                <w:lang w:val="en-US" w:eastAsia="zh-CN" w:bidi="ar"/>
              </w:rPr>
              <w:t>GB 17761—2024</w:t>
            </w:r>
          </w:p>
          <w:p>
            <w:pPr>
              <w:keepNext w:val="0"/>
              <w:keepLines w:val="0"/>
              <w:widowControl w:val="0"/>
              <w:suppressLineNumbers w:val="0"/>
              <w:spacing w:before="0" w:beforeAutospacing="0" w:after="0" w:afterAutospacing="0"/>
              <w:ind w:left="0" w:right="0"/>
              <w:jc w:val="center"/>
              <w:rPr>
                <w:rFonts w:hint="default" w:ascii="Calibri" w:hAnsi="Calibri" w:cs="Calibri"/>
                <w:kern w:val="2"/>
                <w:sz w:val="21"/>
                <w:szCs w:val="21"/>
              </w:rPr>
            </w:pPr>
            <w:r>
              <w:rPr>
                <w:rFonts w:hint="default" w:ascii="Calibri" w:hAnsi="Calibri" w:cs="Calibri"/>
                <w:kern w:val="2"/>
                <w:sz w:val="21"/>
                <w:szCs w:val="21"/>
                <w:lang w:val="en-US" w:eastAsia="zh-CN" w:bidi="ar"/>
              </w:rPr>
              <w:t>GB 3565</w:t>
            </w:r>
            <w:r>
              <w:rPr>
                <w:rFonts w:hint="eastAsia" w:ascii="宋体" w:hAnsi="宋体" w:eastAsia="宋体" w:cs="宋体"/>
                <w:kern w:val="2"/>
                <w:sz w:val="21"/>
                <w:szCs w:val="21"/>
                <w:lang w:val="en-US" w:eastAsia="zh-CN" w:bidi="ar"/>
              </w:rPr>
              <w:t>—</w:t>
            </w:r>
            <w:r>
              <w:rPr>
                <w:rFonts w:hint="default" w:ascii="Calibri" w:hAnsi="Calibri" w:cs="Calibri"/>
                <w:kern w:val="2"/>
                <w:sz w:val="21"/>
                <w:szCs w:val="21"/>
                <w:lang w:val="en-US" w:eastAsia="zh-CN" w:bidi="ar"/>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4</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整车质量</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5</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结构</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kern w:val="2"/>
                <w:sz w:val="21"/>
                <w:szCs w:val="21"/>
                <w:lang w:val="en-US" w:eastAsia="zh-CN" w:bidi="ar"/>
              </w:rPr>
            </w:pPr>
            <w:r>
              <w:rPr>
                <w:rFonts w:hint="default" w:ascii="Calibri" w:hAnsi="Calibri" w:cs="Calibri"/>
                <w:kern w:val="2"/>
                <w:sz w:val="21"/>
                <w:szCs w:val="21"/>
                <w:lang w:val="en-US" w:eastAsia="zh-CN" w:bidi="ar"/>
              </w:rPr>
              <w:t>GB 17761—2024</w:t>
            </w:r>
          </w:p>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 3565</w:t>
            </w:r>
            <w:r>
              <w:rPr>
                <w:rFonts w:hint="eastAsia" w:ascii="宋体" w:hAnsi="宋体" w:eastAsia="宋体" w:cs="宋体"/>
                <w:kern w:val="2"/>
                <w:sz w:val="21"/>
                <w:szCs w:val="21"/>
                <w:lang w:val="en-US" w:eastAsia="zh-CN" w:bidi="ar"/>
              </w:rPr>
              <w:t>—</w:t>
            </w:r>
            <w:r>
              <w:rPr>
                <w:rFonts w:hint="default" w:ascii="Calibri" w:hAnsi="Calibri" w:cs="Calibri"/>
                <w:kern w:val="2"/>
                <w:sz w:val="21"/>
                <w:szCs w:val="21"/>
                <w:lang w:val="en-US" w:eastAsia="zh-CN" w:bidi="ar"/>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6</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车速提示音</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7</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互认协同充电</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 42295</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2022</w:t>
            </w:r>
            <w:r>
              <w:rPr>
                <w:rFonts w:hint="eastAsia" w:ascii="宋体" w:hAnsi="宋体" w:eastAsia="宋体" w:cs="宋体"/>
                <w:kern w:val="2"/>
                <w:sz w:val="21"/>
                <w:szCs w:val="21"/>
                <w:lang w:val="en-US" w:eastAsia="zh-CN" w:bidi="ar"/>
              </w:rPr>
              <w:t>及其第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8</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布线</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 42295</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2022</w:t>
            </w:r>
            <w:r>
              <w:rPr>
                <w:rFonts w:hint="eastAsia" w:ascii="宋体" w:hAnsi="宋体" w:eastAsia="宋体" w:cs="宋体"/>
                <w:kern w:val="2"/>
                <w:sz w:val="21"/>
                <w:szCs w:val="21"/>
                <w:lang w:val="en-US" w:eastAsia="zh-CN" w:bidi="ar"/>
              </w:rPr>
              <w:t>及其第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bidi="ar"/>
              </w:rPr>
              <w:t>9</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电气装置</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lang w:val="en-US"/>
              </w:rPr>
            </w:pPr>
            <w:r>
              <w:rPr>
                <w:rFonts w:hint="eastAsia" w:cs="Times New Roman"/>
                <w:color w:val="000000"/>
                <w:kern w:val="2"/>
                <w:sz w:val="21"/>
                <w:szCs w:val="21"/>
                <w:lang w:val="en-US" w:eastAsia="zh-CN" w:bidi="ar"/>
              </w:rPr>
              <w:t>10</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淋水涉水</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lang w:val="en-US"/>
              </w:rPr>
            </w:pPr>
            <w:r>
              <w:rPr>
                <w:rFonts w:hint="default" w:ascii="Times New Roman" w:hAnsi="Times New Roman" w:cs="Times New Roman"/>
                <w:color w:val="000000"/>
                <w:kern w:val="2"/>
                <w:sz w:val="21"/>
                <w:szCs w:val="21"/>
                <w:lang w:val="en-US" w:eastAsia="zh-CN" w:bidi="ar"/>
              </w:rPr>
              <w:t>1</w:t>
            </w:r>
            <w:r>
              <w:rPr>
                <w:rFonts w:hint="eastAsia" w:cs="Times New Roman"/>
                <w:color w:val="000000"/>
                <w:kern w:val="2"/>
                <w:sz w:val="21"/>
                <w:szCs w:val="21"/>
                <w:lang w:val="en-US" w:eastAsia="zh-CN" w:bidi="ar"/>
              </w:rPr>
              <w:t>1</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eastAsia" w:ascii="宋体" w:hAnsi="宋体" w:eastAsia="宋体" w:cs="宋体"/>
                <w:kern w:val="2"/>
                <w:sz w:val="21"/>
                <w:szCs w:val="21"/>
                <w:lang w:val="en-US" w:eastAsia="zh-CN" w:bidi="ar"/>
              </w:rPr>
              <w:t>对触及带电部分的防护</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 42295</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2022</w:t>
            </w:r>
            <w:r>
              <w:rPr>
                <w:rFonts w:hint="eastAsia" w:ascii="宋体" w:hAnsi="宋体" w:eastAsia="宋体" w:cs="宋体"/>
                <w:kern w:val="2"/>
                <w:sz w:val="21"/>
                <w:szCs w:val="21"/>
                <w:lang w:val="en-US" w:eastAsia="zh-CN" w:bidi="ar"/>
              </w:rPr>
              <w:t>及其第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号修改单</w:t>
            </w:r>
          </w:p>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GB/T 4208</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2017</w:t>
            </w:r>
          </w:p>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 4706.1</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lang w:val="en-US"/>
              </w:rPr>
            </w:pPr>
            <w:r>
              <w:rPr>
                <w:rFonts w:hint="default" w:ascii="Times New Roman" w:hAnsi="Times New Roman" w:cs="Times New Roman"/>
                <w:color w:val="000000"/>
                <w:kern w:val="2"/>
                <w:sz w:val="21"/>
                <w:szCs w:val="21"/>
                <w:lang w:val="en-US" w:eastAsia="zh-CN" w:bidi="ar"/>
              </w:rPr>
              <w:t>1</w:t>
            </w:r>
            <w:r>
              <w:rPr>
                <w:rFonts w:hint="eastAsia" w:cs="Times New Roman"/>
                <w:color w:val="000000"/>
                <w:kern w:val="2"/>
                <w:sz w:val="21"/>
                <w:szCs w:val="21"/>
                <w:lang w:val="en-US" w:eastAsia="zh-CN" w:bidi="ar"/>
              </w:rPr>
              <w:t>2</w:t>
            </w:r>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color w:val="000000"/>
                <w:kern w:val="2"/>
                <w:sz w:val="21"/>
                <w:szCs w:val="21"/>
              </w:rPr>
            </w:pPr>
            <w:r>
              <w:rPr>
                <w:rFonts w:hint="eastAsia" w:ascii="宋体" w:hAnsi="宋体" w:eastAsia="宋体" w:cs="宋体"/>
                <w:kern w:val="2"/>
                <w:sz w:val="21"/>
                <w:szCs w:val="21"/>
                <w:lang w:val="en-US" w:eastAsia="zh-CN" w:bidi="ar"/>
              </w:rPr>
              <w:t>连接</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GB 42295</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2022</w:t>
            </w:r>
            <w:r>
              <w:rPr>
                <w:rFonts w:hint="eastAsia" w:ascii="宋体" w:hAnsi="宋体" w:eastAsia="宋体" w:cs="宋体"/>
                <w:kern w:val="2"/>
                <w:sz w:val="21"/>
                <w:szCs w:val="21"/>
                <w:lang w:val="en-US" w:eastAsia="zh-CN" w:bidi="ar"/>
              </w:rPr>
              <w:t>及其第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000000"/>
                <w:kern w:val="2"/>
                <w:sz w:val="21"/>
                <w:szCs w:val="21"/>
                <w:lang w:val="en-US"/>
              </w:rPr>
            </w:pPr>
            <w:r>
              <w:rPr>
                <w:rFonts w:hint="default" w:ascii="Times New Roman" w:hAnsi="Times New Roman" w:cs="Times New Roman"/>
                <w:color w:val="000000"/>
                <w:kern w:val="2"/>
                <w:sz w:val="21"/>
                <w:szCs w:val="21"/>
                <w:lang w:val="en-US" w:eastAsia="zh-CN" w:bidi="ar"/>
              </w:rPr>
              <w:t>1</w:t>
            </w:r>
            <w:r>
              <w:rPr>
                <w:rFonts w:hint="eastAsia" w:cs="Times New Roman"/>
                <w:color w:val="000000"/>
                <w:kern w:val="2"/>
                <w:sz w:val="21"/>
                <w:szCs w:val="21"/>
                <w:lang w:val="en-US" w:eastAsia="zh-CN" w:bidi="ar"/>
              </w:rPr>
              <w:t>3</w:t>
            </w:r>
            <w:bookmarkStart w:id="0" w:name="_GoBack"/>
            <w:bookmarkEnd w:id="0"/>
          </w:p>
        </w:tc>
        <w:tc>
          <w:tcPr>
            <w:tcW w:w="3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color w:val="000000"/>
                <w:kern w:val="2"/>
                <w:sz w:val="21"/>
                <w:szCs w:val="21"/>
              </w:rPr>
            </w:pPr>
            <w:r>
              <w:rPr>
                <w:rFonts w:hint="eastAsia" w:ascii="宋体" w:hAnsi="宋体" w:eastAsia="宋体" w:cs="宋体"/>
                <w:kern w:val="2"/>
                <w:sz w:val="21"/>
                <w:szCs w:val="21"/>
                <w:lang w:val="en-US" w:eastAsia="zh-CN" w:bidi="ar"/>
              </w:rPr>
              <w:t>反射器、照明和鸣号装置</w:t>
            </w:r>
          </w:p>
        </w:tc>
        <w:tc>
          <w:tcPr>
            <w:tcW w:w="14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cs="Calibri"/>
                <w:kern w:val="2"/>
                <w:sz w:val="21"/>
                <w:szCs w:val="21"/>
                <w:lang w:val="en-US"/>
              </w:rPr>
            </w:pPr>
            <w:r>
              <w:rPr>
                <w:rFonts w:hint="default" w:ascii="Calibri" w:hAnsi="Calibri" w:cs="Calibri"/>
                <w:kern w:val="2"/>
                <w:sz w:val="21"/>
                <w:szCs w:val="21"/>
                <w:lang w:val="en-US" w:eastAsia="zh-CN" w:bidi="ar"/>
              </w:rPr>
              <w:t>GB 17761</w:t>
            </w:r>
            <w:r>
              <w:rPr>
                <w:rFonts w:hint="eastAsia" w:ascii="宋体" w:hAnsi="宋体" w:eastAsia="宋体" w:cs="宋体"/>
                <w:kern w:val="2"/>
                <w:sz w:val="21"/>
                <w:szCs w:val="21"/>
                <w:lang w:val="en-US" w:eastAsia="zh-CN" w:bidi="ar"/>
              </w:rPr>
              <w:t>—</w:t>
            </w:r>
            <w:r>
              <w:rPr>
                <w:rFonts w:hint="default" w:ascii="Calibri" w:hAnsi="Calibri" w:cs="Calibri"/>
                <w:kern w:val="2"/>
                <w:sz w:val="21"/>
                <w:szCs w:val="21"/>
                <w:lang w:val="en-US" w:eastAsia="zh-CN" w:bidi="ar"/>
              </w:rPr>
              <w:t>20</w:t>
            </w:r>
            <w:r>
              <w:rPr>
                <w:rFonts w:hint="eastAsia" w:cs="Calibri"/>
                <w:kern w:val="2"/>
                <w:sz w:val="21"/>
                <w:szCs w:val="21"/>
                <w:lang w:val="en-US" w:eastAsia="zh-CN" w:bidi="ar"/>
              </w:rPr>
              <w:t>24</w:t>
            </w:r>
          </w:p>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GB/T</w:t>
            </w:r>
            <w:r>
              <w:rPr>
                <w:rFonts w:hint="default" w:ascii="Calibri" w:hAnsi="Calibri" w:eastAsia="宋体" w:cs="Calibri"/>
                <w:kern w:val="2"/>
                <w:sz w:val="21"/>
                <w:szCs w:val="21"/>
                <w:lang w:val="en-US" w:eastAsia="zh-CN" w:bidi="ar"/>
              </w:rPr>
              <w:t xml:space="preserve"> </w:t>
            </w:r>
            <w:r>
              <w:rPr>
                <w:rFonts w:hint="default" w:ascii="Calibri" w:hAnsi="Calibri" w:cs="Calibri"/>
                <w:kern w:val="2"/>
                <w:sz w:val="21"/>
                <w:szCs w:val="21"/>
                <w:lang w:val="en-US" w:eastAsia="zh-CN" w:bidi="ar"/>
              </w:rPr>
              <w:t>31887.1</w:t>
            </w:r>
            <w:r>
              <w:rPr>
                <w:rFonts w:hint="eastAsia" w:ascii="宋体" w:hAnsi="宋体" w:eastAsia="宋体" w:cs="宋体"/>
                <w:kern w:val="2"/>
                <w:sz w:val="21"/>
                <w:szCs w:val="21"/>
                <w:lang w:val="en-US" w:eastAsia="zh-CN" w:bidi="ar"/>
              </w:rPr>
              <w:t>—</w:t>
            </w:r>
            <w:r>
              <w:rPr>
                <w:rFonts w:hint="default" w:ascii="Calibri" w:hAnsi="Calibri" w:cs="Calibri"/>
                <w:kern w:val="2"/>
                <w:sz w:val="21"/>
                <w:szCs w:val="21"/>
                <w:lang w:val="en-US" w:eastAsia="zh-CN" w:bidi="ar"/>
              </w:rPr>
              <w:t>2019</w:t>
            </w:r>
          </w:p>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1"/>
              </w:rPr>
            </w:pPr>
            <w:r>
              <w:rPr>
                <w:rFonts w:hint="default" w:ascii="Calibri" w:hAnsi="Calibri" w:cs="Calibri"/>
                <w:kern w:val="2"/>
                <w:sz w:val="21"/>
                <w:szCs w:val="21"/>
                <w:lang w:val="en-US" w:eastAsia="zh-CN" w:bidi="ar"/>
              </w:rPr>
              <w:t>GB/T</w:t>
            </w:r>
            <w:r>
              <w:rPr>
                <w:rFonts w:hint="default" w:ascii="Calibri" w:hAnsi="Calibri" w:eastAsia="宋体" w:cs="Calibri"/>
                <w:kern w:val="2"/>
                <w:sz w:val="21"/>
                <w:szCs w:val="21"/>
                <w:lang w:val="en-US" w:eastAsia="zh-CN" w:bidi="ar"/>
              </w:rPr>
              <w:t xml:space="preserve"> </w:t>
            </w:r>
            <w:r>
              <w:rPr>
                <w:rFonts w:hint="default" w:ascii="Calibri" w:hAnsi="Calibri" w:cs="Calibri"/>
                <w:kern w:val="2"/>
                <w:sz w:val="21"/>
                <w:szCs w:val="21"/>
                <w:lang w:val="en-US" w:eastAsia="zh-CN" w:bidi="ar"/>
              </w:rPr>
              <w:t>31887.2</w:t>
            </w:r>
            <w:r>
              <w:rPr>
                <w:rFonts w:hint="eastAsia" w:ascii="宋体" w:hAnsi="宋体" w:eastAsia="宋体" w:cs="宋体"/>
                <w:kern w:val="2"/>
                <w:sz w:val="21"/>
                <w:szCs w:val="21"/>
                <w:lang w:val="en-US" w:eastAsia="zh-CN" w:bidi="ar"/>
              </w:rPr>
              <w:t>—</w:t>
            </w:r>
            <w:r>
              <w:rPr>
                <w:rFonts w:hint="default" w:ascii="Calibri" w:hAnsi="Calibri" w:cs="Calibri"/>
                <w:kern w:val="2"/>
                <w:sz w:val="21"/>
                <w:szCs w:val="21"/>
                <w:lang w:val="en-US" w:eastAsia="zh-CN" w:bidi="ar"/>
              </w:rPr>
              <w:t>2019</w:t>
            </w:r>
          </w:p>
        </w:tc>
      </w:tr>
    </w:tbl>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ascii="宋体" w:hAnsi="宋体"/>
          <w:b/>
          <w:bCs/>
          <w:szCs w:val="21"/>
        </w:rPr>
      </w:pPr>
      <w:r>
        <w:rPr>
          <w:rFonts w:ascii="宋体" w:hAnsi="宋体"/>
          <w:b/>
          <w:bCs/>
          <w:szCs w:val="21"/>
        </w:rPr>
        <w:t>3</w:t>
      </w:r>
      <w:r>
        <w:rPr>
          <w:rFonts w:hint="eastAsia" w:ascii="宋体" w:hAnsi="宋体"/>
          <w:b/>
          <w:bCs/>
          <w:szCs w:val="21"/>
        </w:rPr>
        <w:t>、</w:t>
      </w:r>
      <w:r>
        <w:rPr>
          <w:rFonts w:ascii="宋体" w:hAnsi="宋体"/>
          <w:b/>
          <w:bCs/>
          <w:szCs w:val="21"/>
        </w:rPr>
        <w:t>判定</w:t>
      </w:r>
      <w:r>
        <w:rPr>
          <w:rFonts w:hint="eastAsia" w:ascii="宋体" w:hAnsi="宋体"/>
          <w:b/>
          <w:bCs/>
          <w:szCs w:val="21"/>
        </w:rPr>
        <w:t>规</w:t>
      </w:r>
      <w:r>
        <w:rPr>
          <w:rFonts w:ascii="宋体" w:hAnsi="宋体"/>
          <w:b/>
          <w:bCs/>
          <w:szCs w:val="21"/>
        </w:rPr>
        <w:t>则</w:t>
      </w:r>
    </w:p>
    <w:p>
      <w:pPr>
        <w:spacing w:line="360" w:lineRule="auto"/>
        <w:rPr>
          <w:b/>
          <w:szCs w:val="21"/>
        </w:rPr>
      </w:pPr>
      <w:r>
        <w:rPr>
          <w:rFonts w:hint="eastAsia"/>
          <w:b/>
          <w:szCs w:val="21"/>
        </w:rPr>
        <w:t>3.1依据标准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 17761—2018 电动自行车安全技术规范</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 17761—20</w:t>
      </w:r>
      <w:r>
        <w:rPr>
          <w:rFonts w:hint="eastAsia" w:ascii="Times New Roman" w:hAnsi="Times New Roman"/>
          <w:color w:val="000000"/>
          <w:szCs w:val="21"/>
          <w:lang w:val="en-US" w:eastAsia="zh-CN"/>
        </w:rPr>
        <w:t>24</w:t>
      </w:r>
      <w:r>
        <w:rPr>
          <w:rFonts w:hint="eastAsia" w:ascii="Times New Roman" w:hAnsi="Times New Roman"/>
          <w:color w:val="000000"/>
          <w:szCs w:val="21"/>
        </w:rPr>
        <w:t xml:space="preserve"> 电动自行车安全技术规范</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 42295—2022 电动自行车电气安全要求</w:t>
      </w:r>
      <w:r>
        <w:rPr>
          <w:rFonts w:hint="eastAsia"/>
          <w:szCs w:val="21"/>
        </w:rPr>
        <w:t>及其第1号修改单</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pacing w:line="360" w:lineRule="auto"/>
        <w:rPr>
          <w:b/>
          <w:szCs w:val="21"/>
        </w:rPr>
      </w:pPr>
      <w:r>
        <w:rPr>
          <w:b/>
          <w:szCs w:val="21"/>
        </w:rPr>
        <w:t>3.2</w:t>
      </w:r>
      <w:r>
        <w:rPr>
          <w:rFonts w:hint="eastAsia" w:hAnsi="宋体"/>
          <w:b/>
          <w:szCs w:val="21"/>
        </w:rPr>
        <w:t>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A8B5A01"/>
    <w:rsid w:val="20456C31"/>
    <w:rsid w:val="2B07553F"/>
    <w:rsid w:val="3EE561F0"/>
    <w:rsid w:val="3F2907D2"/>
    <w:rsid w:val="4B117389"/>
    <w:rsid w:val="4F8D5739"/>
    <w:rsid w:val="58844520"/>
    <w:rsid w:val="590464E7"/>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4"/>
    <w:qFormat/>
    <w:uiPriority w:val="0"/>
    <w:rPr>
      <w:rFonts w:ascii="Calibri" w:hAnsi="Calibri" w:eastAsia="仿宋_GB2312"/>
      <w:b/>
      <w:bCs/>
      <w:kern w:val="2"/>
      <w:sz w:val="28"/>
      <w:szCs w:val="28"/>
    </w:rPr>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0</TotalTime>
  <ScaleCrop>false</ScaleCrop>
  <LinksUpToDate>false</LinksUpToDate>
  <CharactersWithSpaces>4522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YWB</cp:lastModifiedBy>
  <dcterms:modified xsi:type="dcterms:W3CDTF">2025-05-14T06:15:12Z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72C47102A7ED45D6B2DA21A2FC0B4997</vt:lpwstr>
  </property>
</Properties>
</file>