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小标宋简体"/>
          <w:color w:val="000000"/>
          <w:sz w:val="32"/>
          <w:szCs w:val="32"/>
        </w:rPr>
      </w:pPr>
      <w:r>
        <w:rPr>
          <w:rFonts w:hint="eastAsia" w:eastAsia="方正小标宋简体"/>
          <w:color w:val="000000"/>
          <w:sz w:val="32"/>
          <w:szCs w:val="32"/>
        </w:rPr>
        <w:t>广州市</w:t>
      </w:r>
      <w:r>
        <w:rPr>
          <w:rFonts w:hint="eastAsia" w:eastAsia="方正小标宋简体"/>
          <w:color w:val="000000"/>
          <w:sz w:val="32"/>
          <w:szCs w:val="32"/>
          <w:lang w:eastAsia="zh-CN"/>
        </w:rPr>
        <w:t>海珠区</w:t>
      </w:r>
      <w:r>
        <w:rPr>
          <w:rFonts w:hint="eastAsia" w:eastAsia="方正小标宋简体"/>
          <w:color w:val="000000"/>
          <w:sz w:val="32"/>
          <w:szCs w:val="32"/>
        </w:rPr>
        <w:t>市场监督管理局</w:t>
      </w:r>
      <w:r>
        <w:rPr>
          <w:rFonts w:hint="eastAsia" w:eastAsia="方正小标宋简体"/>
          <w:color w:val="000000"/>
          <w:sz w:val="32"/>
          <w:szCs w:val="32"/>
          <w:lang w:val="en-US" w:eastAsia="zh-CN"/>
        </w:rPr>
        <w:t>电热毯</w:t>
      </w:r>
      <w:r>
        <w:rPr>
          <w:rFonts w:hint="eastAsia" w:eastAsia="方正小标宋简体"/>
          <w:color w:val="000000"/>
          <w:sz w:val="32"/>
          <w:szCs w:val="32"/>
        </w:rPr>
        <w:t>产品</w:t>
      </w:r>
    </w:p>
    <w:p>
      <w:pPr>
        <w:jc w:val="center"/>
        <w:rPr>
          <w:rFonts w:hint="eastAsia" w:eastAsia="方正小标宋简体"/>
          <w:sz w:val="32"/>
          <w:szCs w:val="32"/>
        </w:rPr>
      </w:pPr>
      <w:r>
        <w:rPr>
          <w:rFonts w:eastAsia="方正小标宋简体"/>
          <w:sz w:val="32"/>
          <w:szCs w:val="32"/>
        </w:rPr>
        <w:t>质量</w:t>
      </w:r>
      <w:r>
        <w:rPr>
          <w:rFonts w:hint="eastAsia" w:eastAsia="方正小标宋简体"/>
          <w:sz w:val="32"/>
          <w:szCs w:val="32"/>
        </w:rPr>
        <w:t>监督</w:t>
      </w:r>
      <w:r>
        <w:rPr>
          <w:rFonts w:eastAsia="方正小标宋简体"/>
          <w:sz w:val="32"/>
          <w:szCs w:val="32"/>
        </w:rPr>
        <w:t>抽查实施</w:t>
      </w:r>
      <w:r>
        <w:rPr>
          <w:rFonts w:hint="eastAsia" w:eastAsia="方正小标宋简体"/>
          <w:sz w:val="32"/>
          <w:szCs w:val="32"/>
        </w:rPr>
        <w:t>细则</w:t>
      </w:r>
    </w:p>
    <w:p>
      <w:pPr>
        <w:jc w:val="center"/>
        <w:rPr>
          <w:rFonts w:hint="eastAsia" w:eastAsia="方正小标宋简体"/>
          <w:color w:val="000000"/>
          <w:sz w:val="32"/>
          <w:szCs w:val="32"/>
        </w:rPr>
      </w:pPr>
      <w:r>
        <w:rPr>
          <w:rFonts w:hint="eastAsia" w:eastAsia="方正小标宋简体"/>
          <w:color w:val="000000"/>
          <w:sz w:val="32"/>
          <w:szCs w:val="32"/>
        </w:rPr>
        <w:t>（202</w:t>
      </w:r>
      <w:r>
        <w:rPr>
          <w:rFonts w:hint="eastAsia" w:eastAsia="方正小标宋简体"/>
          <w:color w:val="000000"/>
          <w:sz w:val="32"/>
          <w:szCs w:val="32"/>
          <w:lang w:val="en-US" w:eastAsia="zh-CN"/>
        </w:rPr>
        <w:t>5</w:t>
      </w:r>
      <w:r>
        <w:rPr>
          <w:rFonts w:hint="eastAsia" w:eastAsia="方正小标宋简体"/>
          <w:color w:val="000000"/>
          <w:sz w:val="32"/>
          <w:szCs w:val="32"/>
        </w:rPr>
        <w:t>年版）</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1、抽样方法</w:t>
      </w:r>
    </w:p>
    <w:p>
      <w:pPr>
        <w:snapToGrid w:val="0"/>
        <w:spacing w:line="360" w:lineRule="auto"/>
        <w:ind w:firstLine="420" w:firstLineChars="200"/>
        <w:rPr>
          <w:rFonts w:hAnsi="宋体"/>
          <w:szCs w:val="21"/>
        </w:rPr>
      </w:pPr>
      <w:r>
        <w:rPr>
          <w:rFonts w:hint="eastAsia" w:hAnsi="宋体"/>
          <w:szCs w:val="21"/>
        </w:rPr>
        <w:t>在生产企业的成品库内（生产领域）、线下销售者处（流通领域）或电商领域随机抽取有产品质量检验合格证明或者以其他形式表明合格的、近期生产的待销产品。</w:t>
      </w:r>
    </w:p>
    <w:p>
      <w:pPr>
        <w:adjustRightInd w:val="0"/>
        <w:snapToGrid w:val="0"/>
        <w:spacing w:line="360" w:lineRule="auto"/>
        <w:ind w:firstLine="420" w:firstLineChars="200"/>
        <w:rPr>
          <w:rFonts w:hint="eastAsia" w:hAnsi="宋体"/>
          <w:szCs w:val="21"/>
        </w:rPr>
      </w:pPr>
      <w:r>
        <w:rPr>
          <w:rFonts w:hint="eastAsia" w:hAnsi="宋体"/>
          <w:szCs w:val="21"/>
        </w:rPr>
        <w:t>抽查样品基数应满足抽样数量要求。</w:t>
      </w:r>
    </w:p>
    <w:p>
      <w:pPr>
        <w:adjustRightInd w:val="0"/>
        <w:snapToGrid w:val="0"/>
        <w:spacing w:line="360" w:lineRule="auto"/>
        <w:ind w:firstLine="420" w:firstLineChars="200"/>
        <w:rPr>
          <w:rFonts w:hint="eastAsia" w:hAnsi="宋体"/>
          <w:szCs w:val="21"/>
        </w:rPr>
      </w:pPr>
      <w:r>
        <w:rPr>
          <w:rFonts w:hint="eastAsia" w:hAnsi="宋体"/>
          <w:szCs w:val="21"/>
        </w:rPr>
        <w:t>每批次产品抽取样品3床（条），其中2床（条）作为检验样品，1床（条）作为备用样品。</w:t>
      </w:r>
    </w:p>
    <w:p>
      <w:pPr>
        <w:snapToGrid w:val="0"/>
        <w:spacing w:line="360" w:lineRule="auto"/>
        <w:ind w:firstLine="420" w:firstLineChars="200"/>
        <w:rPr>
          <w:rFonts w:hAnsi="宋体"/>
          <w:szCs w:val="21"/>
        </w:rPr>
      </w:pPr>
      <w:r>
        <w:rPr>
          <w:rFonts w:hAnsi="宋体"/>
          <w:szCs w:val="21"/>
        </w:rPr>
        <w:t>随机数一般可使用随机数表、随机数骰子或扑克牌等方法产生。</w:t>
      </w:r>
    </w:p>
    <w:p>
      <w:pPr>
        <w:pStyle w:val="3"/>
      </w:pP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2、检验依据</w:t>
      </w:r>
    </w:p>
    <w:p>
      <w:pPr>
        <w:spacing w:line="360" w:lineRule="auto"/>
        <w:ind w:firstLine="420" w:firstLineChars="200"/>
        <w:rPr>
          <w:szCs w:val="21"/>
        </w:rPr>
      </w:pPr>
      <w:r>
        <w:rPr>
          <w:rFonts w:hint="eastAsia"/>
          <w:color w:val="000000"/>
          <w:szCs w:val="21"/>
        </w:rPr>
        <w:t>本次抽查检验项目和检验方法依据见表</w:t>
      </w:r>
      <w:r>
        <w:rPr>
          <w:rFonts w:hint="eastAsia"/>
          <w:color w:val="000000"/>
          <w:szCs w:val="21"/>
          <w:lang w:val="en-US" w:eastAsia="zh-CN"/>
        </w:rPr>
        <w:t>1</w:t>
      </w:r>
      <w:r>
        <w:rPr>
          <w:rFonts w:hAnsi="宋体"/>
          <w:szCs w:val="21"/>
        </w:rPr>
        <w:t>。</w:t>
      </w:r>
    </w:p>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表</w:t>
      </w:r>
      <w:r>
        <w:rPr>
          <w:rFonts w:hint="eastAsia" w:cs="Times New Roman"/>
          <w:color w:val="000000"/>
          <w:szCs w:val="21"/>
          <w:lang w:val="en-US" w:eastAsia="zh-CN"/>
        </w:rPr>
        <w:t>1</w:t>
      </w:r>
      <w:r>
        <w:rPr>
          <w:rFonts w:hint="eastAsia" w:ascii="Times New Roman" w:hAnsi="Times New Roman" w:cs="Times New Roman"/>
          <w:color w:val="000000"/>
          <w:szCs w:val="21"/>
        </w:rPr>
        <w:t xml:space="preserve"> </w:t>
      </w:r>
      <w:r>
        <w:rPr>
          <w:rFonts w:ascii="Times New Roman" w:hAnsi="Times New Roman" w:cs="Times New Roman"/>
          <w:color w:val="000000"/>
          <w:szCs w:val="21"/>
        </w:rPr>
        <w:t>检验项目</w:t>
      </w:r>
    </w:p>
    <w:tbl>
      <w:tblPr>
        <w:tblStyle w:val="5"/>
        <w:tblW w:w="88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5956"/>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blHeader/>
          <w:jc w:val="center"/>
        </w:trPr>
        <w:tc>
          <w:tcPr>
            <w:tcW w:w="741" w:type="dxa"/>
            <w:vMerge w:val="restart"/>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cs="Times New Roman" w:asciiTheme="minorEastAsia" w:hAnsiTheme="minorEastAsia"/>
                <w:color w:val="000000"/>
                <w:szCs w:val="21"/>
              </w:rPr>
            </w:pPr>
            <w:r>
              <w:rPr>
                <w:rFonts w:hint="default" w:cs="Times New Roman" w:asciiTheme="minorEastAsia" w:hAnsiTheme="minorEastAsia"/>
                <w:color w:val="000000"/>
                <w:szCs w:val="21"/>
              </w:rPr>
              <w:t>序号</w:t>
            </w:r>
          </w:p>
        </w:tc>
        <w:tc>
          <w:tcPr>
            <w:tcW w:w="5956" w:type="dxa"/>
            <w:vMerge w:val="restart"/>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cs="Times New Roman" w:asciiTheme="minorEastAsia" w:hAnsiTheme="minorEastAsia"/>
                <w:color w:val="000000"/>
                <w:szCs w:val="21"/>
              </w:rPr>
            </w:pPr>
            <w:r>
              <w:rPr>
                <w:rFonts w:hint="default" w:cs="Times New Roman" w:asciiTheme="minorEastAsia" w:hAnsiTheme="minorEastAsia"/>
                <w:color w:val="000000"/>
                <w:szCs w:val="21"/>
              </w:rPr>
              <w:t>检验项目</w:t>
            </w:r>
          </w:p>
        </w:tc>
        <w:tc>
          <w:tcPr>
            <w:tcW w:w="2156" w:type="dxa"/>
            <w:vMerge w:val="restart"/>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cs="Times New Roman" w:asciiTheme="minorEastAsia" w:hAnsiTheme="minorEastAsia"/>
                <w:color w:val="000000"/>
                <w:szCs w:val="21"/>
              </w:rPr>
            </w:pPr>
            <w:r>
              <w:rPr>
                <w:rFonts w:hint="default" w:cs="Times New Roman" w:asciiTheme="minorEastAsia" w:hAnsiTheme="minorEastAsia"/>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blHeader/>
          <w:jc w:val="center"/>
        </w:trPr>
        <w:tc>
          <w:tcPr>
            <w:tcW w:w="741" w:type="dxa"/>
            <w:vMerge w:val="continue"/>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cs="Times New Roman" w:asciiTheme="minorEastAsia" w:hAnsiTheme="minorEastAsia"/>
                <w:color w:val="000000"/>
                <w:szCs w:val="21"/>
              </w:rPr>
            </w:pPr>
          </w:p>
        </w:tc>
        <w:tc>
          <w:tcPr>
            <w:tcW w:w="5956" w:type="dxa"/>
            <w:vMerge w:val="continue"/>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cs="Times New Roman" w:asciiTheme="minorEastAsia" w:hAnsiTheme="minorEastAsia"/>
                <w:color w:val="000000"/>
                <w:szCs w:val="21"/>
              </w:rPr>
            </w:pPr>
          </w:p>
        </w:tc>
        <w:tc>
          <w:tcPr>
            <w:tcW w:w="2156" w:type="dxa"/>
            <w:vMerge w:val="continue"/>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cs="Times New Roman"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74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cs="Times New Roman" w:asciiTheme="minorEastAsia" w:hAnsiTheme="minorEastAsia"/>
                <w:color w:val="000000"/>
                <w:szCs w:val="21"/>
                <w:lang w:val="en-US" w:eastAsia="zh-CN"/>
              </w:rPr>
            </w:pPr>
            <w:r>
              <w:rPr>
                <w:rFonts w:hint="eastAsia" w:cs="Times New Roman" w:asciiTheme="minorEastAsia" w:hAnsiTheme="minorEastAsia"/>
                <w:color w:val="000000"/>
                <w:szCs w:val="21"/>
                <w:lang w:val="en-US" w:eastAsia="zh-CN"/>
              </w:rPr>
              <w:t>1</w:t>
            </w:r>
          </w:p>
        </w:tc>
        <w:tc>
          <w:tcPr>
            <w:tcW w:w="5956" w:type="dxa"/>
            <w:vAlign w:val="center"/>
          </w:tcPr>
          <w:p>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Style w:val="7"/>
                <w:rFonts w:hint="default" w:cs="Times New Roman" w:asciiTheme="minorEastAsia" w:hAnsiTheme="minorEastAsia"/>
                <w:snapToGrid w:val="0"/>
                <w:szCs w:val="21"/>
              </w:rPr>
            </w:pPr>
            <w:r>
              <w:rPr>
                <w:rStyle w:val="9"/>
                <w:rFonts w:hint="eastAsia" w:ascii="宋体" w:hAnsi="宋体" w:eastAsia="宋体" w:cs="宋体"/>
                <w:kern w:val="2"/>
                <w:sz w:val="21"/>
                <w:szCs w:val="21"/>
                <w:lang w:val="en-US" w:eastAsia="zh-CN" w:bidi="ar"/>
              </w:rPr>
              <w:t>输入功率和电流</w:t>
            </w:r>
          </w:p>
        </w:tc>
        <w:tc>
          <w:tcPr>
            <w:tcW w:w="2156" w:type="dxa"/>
            <w:vMerge w:val="restart"/>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rPr>
            </w:pPr>
            <w:r>
              <w:rPr>
                <w:rFonts w:hint="default"/>
              </w:rPr>
              <w:t>GB 4706.1-2005</w:t>
            </w:r>
          </w:p>
          <w:p>
            <w:pPr>
              <w:keepNext w:val="0"/>
              <w:keepLines w:val="0"/>
              <w:suppressLineNumbers w:val="0"/>
              <w:adjustRightInd w:val="0"/>
              <w:snapToGrid w:val="0"/>
              <w:spacing w:before="0" w:beforeAutospacing="0" w:after="0" w:afterAutospacing="0" w:line="360" w:lineRule="auto"/>
              <w:ind w:left="0" w:right="0"/>
              <w:jc w:val="center"/>
              <w:rPr>
                <w:rFonts w:hint="default"/>
              </w:rPr>
            </w:pPr>
            <w:r>
              <w:rPr>
                <w:rFonts w:hint="default"/>
              </w:rPr>
              <w:t>GB 4706.8-2008</w:t>
            </w:r>
          </w:p>
          <w:p>
            <w:pPr>
              <w:keepNext w:val="0"/>
              <w:keepLines w:val="0"/>
              <w:suppressLineNumbers w:val="0"/>
              <w:adjustRightInd w:val="0"/>
              <w:snapToGrid w:val="0"/>
              <w:spacing w:before="0" w:beforeAutospacing="0" w:after="0" w:afterAutospacing="0" w:line="360" w:lineRule="auto"/>
              <w:ind w:left="0" w:right="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74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cs="Times New Roman" w:asciiTheme="minorEastAsia" w:hAnsiTheme="minorEastAsia"/>
                <w:color w:val="000000"/>
                <w:szCs w:val="21"/>
                <w:lang w:val="en-US" w:eastAsia="zh-CN"/>
              </w:rPr>
            </w:pPr>
            <w:r>
              <w:rPr>
                <w:rFonts w:hint="eastAsia" w:cs="Times New Roman" w:asciiTheme="minorEastAsia" w:hAnsiTheme="minorEastAsia"/>
                <w:color w:val="000000"/>
                <w:szCs w:val="21"/>
                <w:lang w:val="en-US" w:eastAsia="zh-CN"/>
              </w:rPr>
              <w:t>2</w:t>
            </w:r>
          </w:p>
        </w:tc>
        <w:tc>
          <w:tcPr>
            <w:tcW w:w="5956" w:type="dxa"/>
            <w:vAlign w:val="center"/>
          </w:tcPr>
          <w:p>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cs="Times New Roman" w:asciiTheme="minorEastAsia" w:hAnsiTheme="minorEastAsia"/>
                <w:color w:val="000000"/>
                <w:szCs w:val="21"/>
              </w:rPr>
            </w:pPr>
            <w:r>
              <w:rPr>
                <w:rStyle w:val="9"/>
                <w:rFonts w:hint="eastAsia" w:ascii="宋体" w:hAnsi="宋体" w:eastAsia="宋体" w:cs="宋体"/>
                <w:kern w:val="2"/>
                <w:sz w:val="21"/>
                <w:szCs w:val="21"/>
                <w:lang w:val="en-US" w:eastAsia="zh-CN" w:bidi="ar"/>
              </w:rPr>
              <w:t>发热</w:t>
            </w:r>
          </w:p>
        </w:tc>
        <w:tc>
          <w:tcPr>
            <w:tcW w:w="2156" w:type="dxa"/>
            <w:vMerge w:val="continue"/>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cs="Times New Roman"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74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cs="Times New Roman" w:asciiTheme="minorEastAsia" w:hAnsiTheme="minorEastAsia"/>
                <w:color w:val="000000"/>
                <w:szCs w:val="21"/>
                <w:lang w:val="en-US" w:eastAsia="zh-CN"/>
              </w:rPr>
            </w:pPr>
            <w:r>
              <w:rPr>
                <w:rFonts w:hint="eastAsia" w:cs="Times New Roman" w:asciiTheme="minorEastAsia" w:hAnsiTheme="minorEastAsia"/>
                <w:color w:val="000000"/>
                <w:szCs w:val="21"/>
                <w:lang w:val="en-US" w:eastAsia="zh-CN"/>
              </w:rPr>
              <w:t>3</w:t>
            </w:r>
          </w:p>
        </w:tc>
        <w:tc>
          <w:tcPr>
            <w:tcW w:w="5956" w:type="dxa"/>
            <w:vAlign w:val="center"/>
          </w:tcPr>
          <w:p>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Style w:val="7"/>
                <w:rFonts w:hint="default" w:cs="Times New Roman" w:asciiTheme="minorEastAsia" w:hAnsiTheme="minorEastAsia"/>
                <w:snapToGrid w:val="0"/>
                <w:szCs w:val="21"/>
              </w:rPr>
            </w:pPr>
            <w:r>
              <w:rPr>
                <w:rStyle w:val="9"/>
                <w:rFonts w:hint="eastAsia" w:ascii="宋体" w:hAnsi="宋体" w:eastAsia="宋体" w:cs="宋体"/>
                <w:kern w:val="2"/>
                <w:sz w:val="21"/>
                <w:szCs w:val="21"/>
                <w:lang w:val="en-US" w:eastAsia="zh-CN" w:bidi="ar"/>
              </w:rPr>
              <w:t>工作温度下的泄漏电流和电气强度</w:t>
            </w:r>
          </w:p>
        </w:tc>
        <w:tc>
          <w:tcPr>
            <w:tcW w:w="2156" w:type="dxa"/>
            <w:vMerge w:val="continue"/>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cs="Times New Roman"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74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cs="Times New Roman" w:asciiTheme="minorEastAsia" w:hAnsiTheme="minorEastAsia"/>
                <w:color w:val="000000"/>
                <w:szCs w:val="21"/>
                <w:lang w:val="en-US" w:eastAsia="zh-CN"/>
              </w:rPr>
            </w:pPr>
            <w:r>
              <w:rPr>
                <w:rFonts w:hint="eastAsia" w:cs="Times New Roman" w:asciiTheme="minorEastAsia" w:hAnsiTheme="minorEastAsia"/>
                <w:color w:val="000000"/>
                <w:szCs w:val="21"/>
                <w:lang w:val="en-US" w:eastAsia="zh-CN"/>
              </w:rPr>
              <w:t>4</w:t>
            </w:r>
          </w:p>
        </w:tc>
        <w:tc>
          <w:tcPr>
            <w:tcW w:w="5956" w:type="dxa"/>
            <w:vAlign w:val="center"/>
          </w:tcPr>
          <w:p>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Style w:val="7"/>
                <w:rFonts w:hint="default" w:cs="Times New Roman" w:asciiTheme="minorEastAsia" w:hAnsiTheme="minorEastAsia"/>
                <w:snapToGrid w:val="0"/>
                <w:szCs w:val="21"/>
              </w:rPr>
            </w:pPr>
            <w:r>
              <w:rPr>
                <w:rStyle w:val="9"/>
                <w:rFonts w:hint="eastAsia" w:ascii="宋体" w:hAnsi="宋体" w:eastAsia="宋体" w:cs="宋体"/>
                <w:kern w:val="2"/>
                <w:sz w:val="21"/>
                <w:szCs w:val="21"/>
                <w:lang w:val="en-US" w:eastAsia="zh-CN" w:bidi="ar"/>
              </w:rPr>
              <w:t>耐潮湿</w:t>
            </w:r>
          </w:p>
        </w:tc>
        <w:tc>
          <w:tcPr>
            <w:tcW w:w="2156" w:type="dxa"/>
            <w:vMerge w:val="continue"/>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cs="Times New Roman"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74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cs="Times New Roman" w:asciiTheme="minorEastAsia" w:hAnsiTheme="minorEastAsia"/>
                <w:color w:val="000000"/>
                <w:szCs w:val="21"/>
                <w:lang w:val="en-US" w:eastAsia="zh-CN"/>
              </w:rPr>
            </w:pPr>
            <w:r>
              <w:rPr>
                <w:rFonts w:hint="eastAsia" w:cs="Times New Roman" w:asciiTheme="minorEastAsia" w:hAnsiTheme="minorEastAsia"/>
                <w:color w:val="000000"/>
                <w:szCs w:val="21"/>
                <w:lang w:val="en-US" w:eastAsia="zh-CN"/>
              </w:rPr>
              <w:t>5</w:t>
            </w:r>
          </w:p>
        </w:tc>
        <w:tc>
          <w:tcPr>
            <w:tcW w:w="5956" w:type="dxa"/>
            <w:vAlign w:val="center"/>
          </w:tcPr>
          <w:p>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cs="Times New Roman" w:asciiTheme="minorEastAsia" w:hAnsiTheme="minorEastAsia"/>
                <w:color w:val="000000"/>
                <w:szCs w:val="21"/>
              </w:rPr>
            </w:pPr>
            <w:r>
              <w:rPr>
                <w:rStyle w:val="9"/>
                <w:rFonts w:hint="eastAsia" w:ascii="宋体" w:hAnsi="宋体" w:eastAsia="宋体" w:cs="宋体"/>
                <w:kern w:val="2"/>
                <w:sz w:val="21"/>
                <w:szCs w:val="21"/>
                <w:lang w:val="en-US" w:eastAsia="zh-CN" w:bidi="ar"/>
              </w:rPr>
              <w:t>泄漏电流和电气强度</w:t>
            </w:r>
          </w:p>
        </w:tc>
        <w:tc>
          <w:tcPr>
            <w:tcW w:w="2156" w:type="dxa"/>
            <w:vMerge w:val="continue"/>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cs="Times New Roman"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74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cs="Times New Roman" w:asciiTheme="minorEastAsia" w:hAnsiTheme="minorEastAsia"/>
                <w:color w:val="000000"/>
                <w:szCs w:val="21"/>
                <w:lang w:val="en-US" w:eastAsia="zh-CN"/>
              </w:rPr>
            </w:pPr>
            <w:r>
              <w:rPr>
                <w:rFonts w:hint="eastAsia" w:cs="Times New Roman" w:asciiTheme="minorEastAsia" w:hAnsiTheme="minorEastAsia"/>
                <w:color w:val="000000"/>
                <w:szCs w:val="21"/>
                <w:lang w:val="en-US" w:eastAsia="zh-CN"/>
              </w:rPr>
              <w:t>6</w:t>
            </w:r>
          </w:p>
        </w:tc>
        <w:tc>
          <w:tcPr>
            <w:tcW w:w="5956" w:type="dxa"/>
            <w:vAlign w:val="center"/>
          </w:tcPr>
          <w:p>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cs="Times New Roman" w:asciiTheme="minorEastAsia" w:hAnsiTheme="minorEastAsia"/>
                <w:color w:val="000000"/>
                <w:szCs w:val="21"/>
              </w:rPr>
            </w:pPr>
            <w:r>
              <w:rPr>
                <w:rStyle w:val="9"/>
                <w:rFonts w:hint="eastAsia" w:ascii="宋体" w:hAnsi="宋体" w:eastAsia="宋体" w:cs="宋体"/>
                <w:kern w:val="2"/>
                <w:sz w:val="21"/>
                <w:szCs w:val="21"/>
                <w:lang w:val="en-US" w:eastAsia="zh-CN" w:bidi="ar"/>
              </w:rPr>
              <w:t>非正常工作（电热毯只进行</w:t>
            </w:r>
            <w:r>
              <w:rPr>
                <w:rStyle w:val="9"/>
                <w:rFonts w:hint="eastAsia" w:ascii="宋体" w:hAnsi="宋体" w:eastAsia="宋体" w:cs="Times New Roman"/>
                <w:kern w:val="2"/>
                <w:sz w:val="21"/>
                <w:szCs w:val="21"/>
                <w:lang w:val="en-US" w:eastAsia="zh-CN" w:bidi="ar"/>
              </w:rPr>
              <w:t>5层折叠试验）</w:t>
            </w:r>
          </w:p>
        </w:tc>
        <w:tc>
          <w:tcPr>
            <w:tcW w:w="2156" w:type="dxa"/>
            <w:vMerge w:val="continue"/>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cs="Times New Roman"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74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cs="Times New Roman" w:asciiTheme="minorEastAsia" w:hAnsiTheme="minorEastAsia"/>
                <w:color w:val="000000"/>
                <w:szCs w:val="21"/>
                <w:lang w:val="en-US" w:eastAsia="zh-CN"/>
              </w:rPr>
            </w:pPr>
            <w:r>
              <w:rPr>
                <w:rFonts w:hint="eastAsia" w:cs="Times New Roman" w:asciiTheme="minorEastAsia" w:hAnsiTheme="minorEastAsia"/>
                <w:color w:val="000000"/>
                <w:szCs w:val="21"/>
                <w:lang w:val="en-US" w:eastAsia="zh-CN"/>
              </w:rPr>
              <w:t>7</w:t>
            </w:r>
          </w:p>
        </w:tc>
        <w:tc>
          <w:tcPr>
            <w:tcW w:w="5956" w:type="dxa"/>
            <w:vAlign w:val="center"/>
          </w:tcPr>
          <w:p>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cs="Times New Roman" w:asciiTheme="minorEastAsia" w:hAnsiTheme="minorEastAsia"/>
                <w:szCs w:val="21"/>
              </w:rPr>
            </w:pPr>
            <w:r>
              <w:rPr>
                <w:rFonts w:hint="eastAsia" w:ascii="宋体" w:hAnsi="宋体" w:eastAsia="宋体" w:cs="宋体"/>
                <w:kern w:val="2"/>
                <w:sz w:val="21"/>
                <w:szCs w:val="21"/>
                <w:lang w:val="en-US" w:eastAsia="zh-CN" w:bidi="ar"/>
              </w:rPr>
              <w:t>稳定性和机械危险</w:t>
            </w:r>
          </w:p>
        </w:tc>
        <w:tc>
          <w:tcPr>
            <w:tcW w:w="2156" w:type="dxa"/>
            <w:vMerge w:val="continue"/>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cs="Times New Roman"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74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cs="Times New Roman" w:asciiTheme="minorEastAsia" w:hAnsiTheme="minorEastAsia"/>
                <w:color w:val="000000"/>
                <w:szCs w:val="21"/>
                <w:lang w:val="en-US" w:eastAsia="zh-CN"/>
              </w:rPr>
            </w:pPr>
            <w:r>
              <w:rPr>
                <w:rFonts w:hint="eastAsia" w:cs="Times New Roman" w:asciiTheme="minorEastAsia" w:hAnsiTheme="minorEastAsia"/>
                <w:color w:val="000000"/>
                <w:szCs w:val="21"/>
                <w:lang w:val="en-US" w:eastAsia="zh-CN"/>
              </w:rPr>
              <w:t>8</w:t>
            </w:r>
          </w:p>
        </w:tc>
        <w:tc>
          <w:tcPr>
            <w:tcW w:w="5956" w:type="dxa"/>
            <w:vAlign w:val="center"/>
          </w:tcPr>
          <w:p>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cs="Times New Roman" w:asciiTheme="minorEastAsia" w:hAnsiTheme="minorEastAsia"/>
                <w:szCs w:val="21"/>
              </w:rPr>
            </w:pPr>
            <w:r>
              <w:rPr>
                <w:rStyle w:val="9"/>
                <w:rFonts w:hint="eastAsia" w:ascii="宋体" w:hAnsi="宋体" w:eastAsia="宋体" w:cs="宋体"/>
                <w:kern w:val="2"/>
                <w:sz w:val="21"/>
                <w:szCs w:val="21"/>
                <w:lang w:val="en-US" w:eastAsia="zh-CN" w:bidi="ar"/>
              </w:rPr>
              <w:t>机械强度（只进行发热元件弯曲试验）</w:t>
            </w:r>
          </w:p>
        </w:tc>
        <w:tc>
          <w:tcPr>
            <w:tcW w:w="2156" w:type="dxa"/>
            <w:vMerge w:val="continue"/>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cs="Times New Roman"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74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cs="Times New Roman" w:asciiTheme="minorEastAsia" w:hAnsiTheme="minorEastAsia"/>
                <w:color w:val="000000"/>
                <w:szCs w:val="21"/>
                <w:lang w:val="en-US" w:eastAsia="zh-CN"/>
              </w:rPr>
            </w:pPr>
            <w:r>
              <w:rPr>
                <w:rFonts w:hint="eastAsia" w:cs="Times New Roman" w:asciiTheme="minorEastAsia" w:hAnsiTheme="minorEastAsia"/>
                <w:color w:val="000000"/>
                <w:szCs w:val="21"/>
                <w:lang w:val="en-US" w:eastAsia="zh-CN"/>
              </w:rPr>
              <w:t>9</w:t>
            </w:r>
          </w:p>
        </w:tc>
        <w:tc>
          <w:tcPr>
            <w:tcW w:w="5956" w:type="dxa"/>
            <w:vAlign w:val="center"/>
          </w:tcPr>
          <w:p>
            <w:pPr>
              <w:keepNext w:val="0"/>
              <w:keepLines w:val="0"/>
              <w:widowControl w:val="0"/>
              <w:suppressLineNumbers w:val="0"/>
              <w:snapToGrid w:val="0"/>
              <w:spacing w:before="0" w:beforeAutospacing="0" w:after="0" w:afterAutospacing="0"/>
              <w:ind w:left="0" w:leftChars="0" w:right="0" w:rightChars="0"/>
              <w:jc w:val="center"/>
              <w:rPr>
                <w:rFonts w:hint="default" w:cs="Times New Roman" w:asciiTheme="minorEastAsia" w:hAnsiTheme="minorEastAsia"/>
                <w:szCs w:val="21"/>
              </w:rPr>
            </w:pPr>
            <w:r>
              <w:rPr>
                <w:rFonts w:hint="eastAsia" w:ascii="宋体" w:hAnsi="宋体" w:eastAsia="宋体" w:cs="宋体"/>
                <w:kern w:val="2"/>
                <w:sz w:val="21"/>
                <w:szCs w:val="21"/>
                <w:lang w:val="en-US" w:eastAsia="zh-CN" w:bidi="ar"/>
              </w:rPr>
              <w:t>结构（不包括第</w:t>
            </w:r>
            <w:r>
              <w:rPr>
                <w:rFonts w:hint="eastAsia" w:ascii="宋体" w:hAnsi="宋体" w:eastAsia="宋体" w:cs="Times New Roman"/>
                <w:kern w:val="2"/>
                <w:sz w:val="21"/>
                <w:szCs w:val="21"/>
                <w:lang w:val="en-US" w:eastAsia="zh-CN" w:bidi="ar"/>
              </w:rPr>
              <w:t>22.46条试验）</w:t>
            </w:r>
          </w:p>
        </w:tc>
        <w:tc>
          <w:tcPr>
            <w:tcW w:w="2156" w:type="dxa"/>
            <w:vMerge w:val="continue"/>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cs="Times New Roman"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74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cs="Times New Roman" w:asciiTheme="minorEastAsia" w:hAnsiTheme="minorEastAsia"/>
                <w:color w:val="000000"/>
                <w:szCs w:val="21"/>
                <w:lang w:val="en-US" w:eastAsia="zh-CN"/>
              </w:rPr>
            </w:pPr>
            <w:r>
              <w:rPr>
                <w:rFonts w:hint="eastAsia" w:cs="Times New Roman" w:asciiTheme="minorEastAsia" w:hAnsiTheme="minorEastAsia"/>
                <w:color w:val="000000"/>
                <w:szCs w:val="21"/>
                <w:lang w:val="en-US" w:eastAsia="zh-CN"/>
              </w:rPr>
              <w:t>10</w:t>
            </w:r>
          </w:p>
        </w:tc>
        <w:tc>
          <w:tcPr>
            <w:tcW w:w="5956" w:type="dxa"/>
            <w:vAlign w:val="center"/>
          </w:tcPr>
          <w:p>
            <w:pPr>
              <w:keepNext w:val="0"/>
              <w:keepLines w:val="0"/>
              <w:widowControl w:val="0"/>
              <w:suppressLineNumbers w:val="0"/>
              <w:snapToGrid w:val="0"/>
              <w:spacing w:before="0" w:beforeAutospacing="0" w:after="0" w:afterAutospacing="0"/>
              <w:ind w:left="0" w:right="0"/>
              <w:jc w:val="center"/>
              <w:rPr>
                <w:rFonts w:hint="eastAsia" w:ascii="宋体" w:hAnsi="宋体"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内部布线</w:t>
            </w:r>
          </w:p>
          <w:p>
            <w:pPr>
              <w:keepNext w:val="0"/>
              <w:keepLines w:val="0"/>
              <w:widowControl w:val="0"/>
              <w:suppressLineNumbers w:val="0"/>
              <w:snapToGrid w:val="0"/>
              <w:spacing w:before="0" w:beforeAutospacing="0" w:after="0" w:afterAutospacing="0"/>
              <w:ind w:left="0" w:leftChars="0" w:right="0" w:rightChars="0"/>
              <w:jc w:val="center"/>
              <w:rPr>
                <w:rFonts w:hint="default" w:cs="Times New Roman" w:asciiTheme="minorEastAsia" w:hAnsiTheme="minorEastAsia"/>
                <w:szCs w:val="21"/>
              </w:rPr>
            </w:pPr>
            <w:r>
              <w:rPr>
                <w:rFonts w:hint="eastAsia" w:ascii="宋体" w:hAnsi="宋体" w:eastAsia="宋体" w:cs="宋体"/>
                <w:color w:val="000000"/>
                <w:kern w:val="2"/>
                <w:sz w:val="21"/>
                <w:szCs w:val="21"/>
                <w:lang w:val="en-US" w:eastAsia="zh-CN" w:bidi="ar"/>
              </w:rPr>
              <w:t>（不包括第23.3条试验）</w:t>
            </w:r>
          </w:p>
        </w:tc>
        <w:tc>
          <w:tcPr>
            <w:tcW w:w="2156" w:type="dxa"/>
            <w:vMerge w:val="continue"/>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cs="Times New Roman"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74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cs="Times New Roman" w:asciiTheme="minorEastAsia" w:hAnsiTheme="minorEastAsia"/>
                <w:color w:val="000000"/>
                <w:szCs w:val="21"/>
                <w:lang w:val="en-US" w:eastAsia="zh-CN"/>
              </w:rPr>
            </w:pPr>
            <w:r>
              <w:rPr>
                <w:rFonts w:hint="eastAsia" w:cs="Times New Roman" w:asciiTheme="minorEastAsia" w:hAnsiTheme="minorEastAsia"/>
                <w:color w:val="000000"/>
                <w:szCs w:val="21"/>
                <w:lang w:val="en-US" w:eastAsia="zh-CN"/>
              </w:rPr>
              <w:t>11</w:t>
            </w:r>
          </w:p>
        </w:tc>
        <w:tc>
          <w:tcPr>
            <w:tcW w:w="5956" w:type="dxa"/>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Times New Roman"/>
              </w:rPr>
            </w:pPr>
            <w:r>
              <w:rPr>
                <w:rStyle w:val="9"/>
                <w:rFonts w:hint="eastAsia" w:ascii="宋体" w:hAnsi="宋体" w:eastAsia="宋体" w:cs="宋体"/>
                <w:kern w:val="2"/>
                <w:sz w:val="21"/>
                <w:szCs w:val="21"/>
                <w:lang w:val="en-US" w:eastAsia="zh-CN" w:bidi="ar"/>
              </w:rPr>
              <w:t>电源连接和外部软线</w:t>
            </w:r>
          </w:p>
          <w:p>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asciiTheme="minorEastAsia" w:hAnsiTheme="minorEastAsia"/>
                <w:color w:val="000000"/>
                <w:szCs w:val="21"/>
              </w:rPr>
            </w:pPr>
            <w:r>
              <w:rPr>
                <w:rStyle w:val="9"/>
                <w:rFonts w:hint="eastAsia" w:ascii="宋体" w:hAnsi="宋体" w:eastAsia="宋体" w:cs="宋体"/>
                <w:kern w:val="2"/>
                <w:sz w:val="21"/>
                <w:szCs w:val="21"/>
                <w:lang w:val="en-US" w:eastAsia="zh-CN" w:bidi="ar"/>
              </w:rPr>
              <w:t>（不包括第25.14条试验）</w:t>
            </w:r>
          </w:p>
        </w:tc>
        <w:tc>
          <w:tcPr>
            <w:tcW w:w="2156" w:type="dxa"/>
            <w:vMerge w:val="continue"/>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cs="Times New Roman"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74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cs="Times New Roman" w:asciiTheme="minorEastAsia" w:hAnsiTheme="minorEastAsia"/>
                <w:color w:val="000000"/>
                <w:szCs w:val="21"/>
                <w:lang w:val="en-US" w:eastAsia="zh-CN"/>
              </w:rPr>
            </w:pPr>
            <w:r>
              <w:rPr>
                <w:rFonts w:hint="eastAsia" w:cs="Times New Roman" w:asciiTheme="minorEastAsia" w:hAnsiTheme="minorEastAsia"/>
                <w:color w:val="000000"/>
                <w:szCs w:val="21"/>
                <w:lang w:val="en-US" w:eastAsia="zh-CN"/>
              </w:rPr>
              <w:t>12</w:t>
            </w:r>
          </w:p>
        </w:tc>
        <w:tc>
          <w:tcPr>
            <w:tcW w:w="5956" w:type="dxa"/>
            <w:vAlign w:val="center"/>
          </w:tcPr>
          <w:p>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cs="Times New Roman" w:asciiTheme="minorEastAsia" w:hAnsiTheme="minorEastAsia"/>
                <w:color w:val="000000"/>
                <w:szCs w:val="21"/>
              </w:rPr>
            </w:pPr>
            <w:r>
              <w:rPr>
                <w:rFonts w:hint="eastAsia" w:ascii="宋体" w:hAnsi="宋体" w:eastAsia="宋体" w:cs="宋体"/>
                <w:color w:val="000000"/>
                <w:kern w:val="2"/>
                <w:sz w:val="21"/>
                <w:szCs w:val="21"/>
                <w:lang w:val="en-US" w:eastAsia="zh-CN" w:bidi="ar"/>
              </w:rPr>
              <w:t>外部导线用接线端子</w:t>
            </w:r>
          </w:p>
        </w:tc>
        <w:tc>
          <w:tcPr>
            <w:tcW w:w="2156" w:type="dxa"/>
            <w:vMerge w:val="continue"/>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cs="Times New Roman"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74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cs="Times New Roman" w:asciiTheme="minorEastAsia" w:hAnsiTheme="minorEastAsia"/>
                <w:color w:val="000000"/>
                <w:szCs w:val="21"/>
                <w:lang w:val="en-US" w:eastAsia="zh-CN"/>
              </w:rPr>
            </w:pPr>
            <w:r>
              <w:rPr>
                <w:rFonts w:hint="eastAsia" w:cs="Times New Roman" w:asciiTheme="minorEastAsia" w:hAnsiTheme="minorEastAsia"/>
                <w:color w:val="000000"/>
                <w:szCs w:val="21"/>
                <w:lang w:val="en-US" w:eastAsia="zh-CN"/>
              </w:rPr>
              <w:t>13</w:t>
            </w:r>
          </w:p>
        </w:tc>
        <w:tc>
          <w:tcPr>
            <w:tcW w:w="5956" w:type="dxa"/>
            <w:vAlign w:val="center"/>
          </w:tcPr>
          <w:p>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Fonts w:hint="default" w:cs="Times New Roman" w:asciiTheme="minorEastAsia" w:hAnsiTheme="minorEastAsia"/>
                <w:color w:val="000000"/>
                <w:szCs w:val="21"/>
              </w:rPr>
            </w:pPr>
            <w:r>
              <w:rPr>
                <w:rStyle w:val="9"/>
                <w:rFonts w:hint="eastAsia" w:ascii="宋体" w:hAnsi="宋体" w:eastAsia="宋体" w:cs="宋体"/>
                <w:kern w:val="2"/>
                <w:sz w:val="21"/>
                <w:szCs w:val="21"/>
                <w:lang w:val="en-US" w:eastAsia="zh-CN" w:bidi="ar"/>
              </w:rPr>
              <w:t>接地措施</w:t>
            </w:r>
          </w:p>
        </w:tc>
        <w:tc>
          <w:tcPr>
            <w:tcW w:w="2156" w:type="dxa"/>
            <w:vMerge w:val="continue"/>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cs="Times New Roman"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74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cs="Times New Roman" w:asciiTheme="minorEastAsia" w:hAnsiTheme="minorEastAsia"/>
                <w:color w:val="000000"/>
                <w:szCs w:val="21"/>
                <w:lang w:val="en-US" w:eastAsia="zh-CN"/>
              </w:rPr>
            </w:pPr>
            <w:r>
              <w:rPr>
                <w:rFonts w:hint="eastAsia" w:cs="Times New Roman" w:asciiTheme="minorEastAsia" w:hAnsiTheme="minorEastAsia"/>
                <w:color w:val="000000"/>
                <w:szCs w:val="21"/>
                <w:lang w:val="en-US" w:eastAsia="zh-CN"/>
              </w:rPr>
              <w:t>14</w:t>
            </w:r>
          </w:p>
        </w:tc>
        <w:tc>
          <w:tcPr>
            <w:tcW w:w="5956" w:type="dxa"/>
            <w:vAlign w:val="center"/>
          </w:tcPr>
          <w:p>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Style w:val="7"/>
                <w:rFonts w:hint="default" w:cs="Times New Roman" w:asciiTheme="minorEastAsia" w:hAnsiTheme="minorEastAsia"/>
                <w:snapToGrid w:val="0"/>
                <w:szCs w:val="21"/>
              </w:rPr>
            </w:pPr>
            <w:r>
              <w:rPr>
                <w:rStyle w:val="9"/>
                <w:rFonts w:hint="eastAsia" w:ascii="宋体" w:hAnsi="宋体" w:eastAsia="宋体" w:cs="宋体"/>
                <w:kern w:val="2"/>
                <w:sz w:val="21"/>
                <w:szCs w:val="21"/>
                <w:lang w:val="en-US" w:eastAsia="zh-CN" w:bidi="ar"/>
              </w:rPr>
              <w:t>螺钉和连接</w:t>
            </w:r>
          </w:p>
        </w:tc>
        <w:tc>
          <w:tcPr>
            <w:tcW w:w="2156" w:type="dxa"/>
            <w:vMerge w:val="continue"/>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cs="Times New Roman"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74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cs="Times New Roman" w:asciiTheme="minorEastAsia" w:hAnsiTheme="minorEastAsia"/>
                <w:color w:val="000000"/>
                <w:szCs w:val="21"/>
                <w:lang w:val="en-US" w:eastAsia="zh-CN"/>
              </w:rPr>
            </w:pPr>
            <w:r>
              <w:rPr>
                <w:rFonts w:hint="eastAsia" w:cs="Times New Roman" w:asciiTheme="minorEastAsia" w:hAnsiTheme="minorEastAsia"/>
                <w:color w:val="000000"/>
                <w:szCs w:val="21"/>
                <w:lang w:val="en-US" w:eastAsia="zh-CN"/>
              </w:rPr>
              <w:t>15</w:t>
            </w:r>
          </w:p>
        </w:tc>
        <w:tc>
          <w:tcPr>
            <w:tcW w:w="5956" w:type="dxa"/>
            <w:vAlign w:val="center"/>
          </w:tcPr>
          <w:p>
            <w:pPr>
              <w:keepNext w:val="0"/>
              <w:keepLines w:val="0"/>
              <w:widowControl w:val="0"/>
              <w:suppressLineNumbers w:val="0"/>
              <w:adjustRightInd w:val="0"/>
              <w:snapToGrid w:val="0"/>
              <w:spacing w:before="0" w:beforeAutospacing="0" w:after="0" w:afterAutospacing="0" w:line="360" w:lineRule="auto"/>
              <w:ind w:left="0" w:leftChars="0" w:right="0" w:rightChars="0"/>
              <w:jc w:val="center"/>
              <w:rPr>
                <w:rStyle w:val="7"/>
                <w:rFonts w:hint="default" w:cs="Times New Roman" w:asciiTheme="minorEastAsia" w:hAnsiTheme="minorEastAsia"/>
                <w:snapToGrid w:val="0"/>
                <w:szCs w:val="21"/>
              </w:rPr>
            </w:pPr>
            <w:r>
              <w:rPr>
                <w:rStyle w:val="9"/>
                <w:rFonts w:hint="eastAsia" w:ascii="宋体" w:hAnsi="宋体" w:eastAsia="宋体" w:cs="宋体"/>
                <w:kern w:val="2"/>
                <w:sz w:val="21"/>
                <w:szCs w:val="21"/>
                <w:lang w:val="en-US" w:eastAsia="zh-CN" w:bidi="ar"/>
              </w:rPr>
              <w:t>电气间隙、爬电距离和固体绝缘</w:t>
            </w:r>
          </w:p>
        </w:tc>
        <w:tc>
          <w:tcPr>
            <w:tcW w:w="2156" w:type="dxa"/>
            <w:vMerge w:val="continue"/>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cs="Times New Roman"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741" w:type="dxa"/>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cs="Times New Roman" w:asciiTheme="minorEastAsia" w:hAnsiTheme="minorEastAsia"/>
                <w:color w:val="000000"/>
                <w:szCs w:val="21"/>
                <w:lang w:val="en-US" w:eastAsia="zh-CN"/>
              </w:rPr>
            </w:pPr>
            <w:r>
              <w:rPr>
                <w:rFonts w:hint="eastAsia" w:cs="Times New Roman" w:asciiTheme="minorEastAsia" w:hAnsiTheme="minorEastAsia"/>
                <w:color w:val="000000"/>
                <w:szCs w:val="21"/>
                <w:lang w:val="en-US" w:eastAsia="zh-CN"/>
              </w:rPr>
              <w:t>16</w:t>
            </w:r>
          </w:p>
        </w:tc>
        <w:tc>
          <w:tcPr>
            <w:tcW w:w="5956" w:type="dxa"/>
            <w:shd w:val="clear" w:color="auto" w:fill="FFFFFF"/>
            <w:vAlign w:val="center"/>
          </w:tcPr>
          <w:p>
            <w:pPr>
              <w:keepNext w:val="0"/>
              <w:keepLines w:val="0"/>
              <w:widowControl w:val="0"/>
              <w:suppressLineNumbers w:val="0"/>
              <w:adjustRightInd w:val="0"/>
              <w:spacing w:before="0" w:beforeAutospacing="0" w:after="0" w:afterAutospacing="0"/>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
              </w:rPr>
              <w:t>谐波电流</w:t>
            </w:r>
            <w:r>
              <w:rPr>
                <w:rFonts w:hint="eastAsia" w:ascii="宋体" w:hAnsi="宋体" w:eastAsia="宋体" w:cs="宋体"/>
                <w:kern w:val="2"/>
                <w:sz w:val="21"/>
                <w:szCs w:val="21"/>
                <w:lang w:val="en-US" w:eastAsia="zh-CN" w:bidi="ar"/>
              </w:rPr>
              <w:tab/>
            </w:r>
          </w:p>
        </w:tc>
        <w:tc>
          <w:tcPr>
            <w:tcW w:w="2156" w:type="dxa"/>
            <w:shd w:val="clear" w:color="auto" w:fill="auto"/>
            <w:vAlign w:val="center"/>
          </w:tcPr>
          <w:p>
            <w:pPr>
              <w:keepNext w:val="0"/>
              <w:keepLines w:val="0"/>
              <w:widowControl w:val="0"/>
              <w:suppressLineNumbers w:val="0"/>
              <w:adjustRightInd w:val="0"/>
              <w:spacing w:before="0" w:beforeAutospacing="0" w:after="0" w:afterAutospacing="0"/>
              <w:ind w:left="0" w:right="0"/>
              <w:jc w:val="center"/>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GB 17625.1—2012</w:t>
            </w:r>
          </w:p>
          <w:p>
            <w:pPr>
              <w:keepNext w:val="0"/>
              <w:keepLines w:val="0"/>
              <w:widowControl w:val="0"/>
              <w:suppressLineNumbers w:val="0"/>
              <w:adjustRightInd w:val="0"/>
              <w:spacing w:before="0" w:beforeAutospacing="0" w:after="0" w:afterAutospacing="0"/>
              <w:ind w:left="0" w:leftChars="0" w:right="0" w:right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
              </w:rPr>
              <w:t>GB 17625.1—202</w:t>
            </w:r>
            <w:r>
              <w:rPr>
                <w:rFonts w:hint="eastAsia" w:asciiTheme="minorEastAsia" w:hAnsiTheme="minorEastAsia" w:cstheme="minorEastAsia"/>
                <w:kern w:val="2"/>
                <w:sz w:val="21"/>
                <w:szCs w:val="21"/>
                <w:lang w:val="en-US" w:eastAsia="zh-CN" w:bidi="ar"/>
              </w:rPr>
              <w:t>2</w:t>
            </w:r>
          </w:p>
        </w:tc>
      </w:tr>
    </w:tbl>
    <w:p>
      <w:pPr>
        <w:adjustRightInd w:val="0"/>
        <w:snapToGrid w:val="0"/>
        <w:spacing w:before="156" w:beforeLines="50" w:line="360" w:lineRule="auto"/>
        <w:ind w:firstLine="420" w:firstLineChars="200"/>
        <w:rPr>
          <w:rFonts w:cs="Times New Roman" w:asciiTheme="minorEastAsia" w:hAnsiTheme="minorEastAsia"/>
          <w:color w:val="000000"/>
          <w:szCs w:val="21"/>
        </w:rPr>
      </w:pPr>
    </w:p>
    <w:p>
      <w:pPr>
        <w:adjustRightInd w:val="0"/>
        <w:snapToGrid w:val="0"/>
        <w:spacing w:line="360" w:lineRule="auto"/>
        <w:ind w:firstLine="420" w:firstLineChars="200"/>
        <w:rPr>
          <w:rFonts w:ascii="Times New Roman" w:hAnsi="Times New Roman" w:cs="Times New Roman"/>
          <w:color w:val="000000"/>
          <w:szCs w:val="21"/>
          <w:lang w:val="zh-TW" w:eastAsia="zh-TW"/>
        </w:rPr>
      </w:pPr>
      <w:r>
        <w:rPr>
          <w:rFonts w:hint="eastAsia" w:ascii="Times New Roman" w:hAnsi="Times New Roman" w:cs="Times New Roman"/>
          <w:color w:val="000000"/>
          <w:szCs w:val="21"/>
          <w:lang w:val="zh-TW" w:eastAsia="zh-TW"/>
        </w:rPr>
        <w:t>执行企业标准、团体标准、地方标准的产品，检验项目参照上述内容执行。</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凡是注日期的文件，其随后所有的修改单（不包括勘误的内容）或修订版不适用于本细则。凡是不注日期的文件，其最新版本适用于本细则。</w:t>
      </w:r>
    </w:p>
    <w:p>
      <w:pPr>
        <w:adjustRightInd w:val="0"/>
        <w:snapToGrid w:val="0"/>
        <w:spacing w:line="360" w:lineRule="auto"/>
        <w:ind w:firstLine="420" w:firstLineChars="200"/>
        <w:rPr>
          <w:rFonts w:ascii="Times New Roman" w:hAnsi="Times New Roman" w:cs="Times New Roman"/>
          <w:color w:val="000000"/>
          <w:szCs w:val="21"/>
        </w:rPr>
      </w:pPr>
    </w:p>
    <w:p>
      <w:pPr>
        <w:pStyle w:val="3"/>
        <w:rPr>
          <w:rFonts w:hint="eastAsia"/>
          <w:color w:val="000000"/>
          <w:szCs w:val="21"/>
        </w:rPr>
      </w:pP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3、判定规则</w:t>
      </w:r>
    </w:p>
    <w:p>
      <w:pPr>
        <w:spacing w:line="360" w:lineRule="auto"/>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3.1依据标准</w:t>
      </w:r>
    </w:p>
    <w:p>
      <w:pPr>
        <w:adjustRightInd w:val="0"/>
        <w:snapToGrid w:val="0"/>
        <w:spacing w:line="360" w:lineRule="auto"/>
        <w:ind w:firstLine="417" w:firstLineChars="199"/>
        <w:rPr>
          <w:rFonts w:hint="eastAsia" w:cs="Times New Roman" w:asciiTheme="minorEastAsia" w:hAnsiTheme="minorEastAsia"/>
          <w:color w:val="000000"/>
          <w:szCs w:val="21"/>
        </w:rPr>
      </w:pPr>
      <w:r>
        <w:rPr>
          <w:rFonts w:hint="eastAsia" w:cs="Times New Roman" w:asciiTheme="minorEastAsia" w:hAnsiTheme="minorEastAsia"/>
          <w:color w:val="000000"/>
          <w:szCs w:val="21"/>
        </w:rPr>
        <w:t>GB 17625.1—2012电磁兼容 限值 谐波电流发射限值（设备每相输入电流≤16A）</w:t>
      </w:r>
    </w:p>
    <w:p>
      <w:pPr>
        <w:adjustRightInd w:val="0"/>
        <w:snapToGrid w:val="0"/>
        <w:spacing w:line="360" w:lineRule="auto"/>
        <w:ind w:firstLine="417" w:firstLineChars="199"/>
        <w:rPr>
          <w:rFonts w:cs="Times New Roman" w:asciiTheme="minorEastAsia" w:hAnsiTheme="minorEastAsia"/>
          <w:color w:val="000000"/>
          <w:szCs w:val="21"/>
        </w:rPr>
      </w:pPr>
      <w:r>
        <w:rPr>
          <w:rFonts w:hint="eastAsia" w:cs="Times New Roman" w:asciiTheme="minorEastAsia" w:hAnsiTheme="minorEastAsia"/>
          <w:color w:val="000000"/>
          <w:szCs w:val="21"/>
        </w:rPr>
        <w:t>GB 17625.1—2022 电磁兼容 限值 第1部分：谐波电流发射限值(设备每相输入电流≤16A)</w:t>
      </w:r>
    </w:p>
    <w:p>
      <w:pPr>
        <w:adjustRightInd w:val="0"/>
        <w:snapToGrid w:val="0"/>
        <w:spacing w:line="360" w:lineRule="auto"/>
        <w:ind w:firstLine="417" w:firstLineChars="199"/>
        <w:rPr>
          <w:rFonts w:cs="Times New Roman" w:asciiTheme="minorEastAsia" w:hAnsiTheme="minorEastAsia"/>
          <w:color w:val="000000"/>
          <w:szCs w:val="21"/>
        </w:rPr>
      </w:pPr>
      <w:r>
        <w:rPr>
          <w:rFonts w:cs="Times New Roman" w:asciiTheme="minorEastAsia" w:hAnsiTheme="minorEastAsia"/>
          <w:color w:val="000000"/>
          <w:szCs w:val="21"/>
        </w:rPr>
        <w:t>GB 4706.1</w:t>
      </w:r>
      <w:r>
        <w:rPr>
          <w:rFonts w:hint="eastAsia" w:cs="Times New Roman" w:asciiTheme="minorEastAsia" w:hAnsiTheme="minorEastAsia"/>
          <w:color w:val="000000"/>
          <w:szCs w:val="21"/>
        </w:rPr>
        <w:t>—</w:t>
      </w:r>
      <w:r>
        <w:rPr>
          <w:rFonts w:cs="Times New Roman" w:asciiTheme="minorEastAsia" w:hAnsiTheme="minorEastAsia"/>
          <w:color w:val="000000"/>
          <w:szCs w:val="21"/>
        </w:rPr>
        <w:t>2005</w:t>
      </w:r>
      <w:r>
        <w:rPr>
          <w:rFonts w:hint="eastAsia" w:cs="Times New Roman" w:asciiTheme="minorEastAsia" w:hAnsiTheme="minorEastAsia"/>
          <w:color w:val="000000"/>
          <w:szCs w:val="21"/>
        </w:rPr>
        <w:t xml:space="preserve"> </w:t>
      </w:r>
      <w:r>
        <w:rPr>
          <w:rFonts w:cs="Times New Roman" w:asciiTheme="minorEastAsia" w:hAnsiTheme="minorEastAsia"/>
          <w:color w:val="000000"/>
          <w:szCs w:val="21"/>
        </w:rPr>
        <w:t>家用和类似用途电器的安全  第1部分：通用要求</w:t>
      </w:r>
    </w:p>
    <w:p>
      <w:pPr>
        <w:adjustRightInd w:val="0"/>
        <w:snapToGrid w:val="0"/>
        <w:spacing w:line="360" w:lineRule="auto"/>
        <w:ind w:firstLine="417" w:firstLineChars="199"/>
        <w:rPr>
          <w:rFonts w:cs="Times New Roman" w:asciiTheme="minorEastAsia" w:hAnsiTheme="minorEastAsia"/>
          <w:color w:val="000000"/>
          <w:szCs w:val="21"/>
        </w:rPr>
      </w:pPr>
      <w:r>
        <w:rPr>
          <w:rFonts w:cs="Times New Roman" w:asciiTheme="minorEastAsia" w:hAnsiTheme="minorEastAsia"/>
          <w:color w:val="000000"/>
          <w:szCs w:val="21"/>
        </w:rPr>
        <w:t>GB 4706.8</w:t>
      </w:r>
      <w:r>
        <w:rPr>
          <w:rFonts w:hint="eastAsia" w:cs="Times New Roman" w:asciiTheme="minorEastAsia" w:hAnsiTheme="minorEastAsia"/>
          <w:color w:val="000000"/>
          <w:szCs w:val="21"/>
        </w:rPr>
        <w:t>—</w:t>
      </w:r>
      <w:r>
        <w:rPr>
          <w:rFonts w:cs="Times New Roman" w:asciiTheme="minorEastAsia" w:hAnsiTheme="minorEastAsia"/>
          <w:color w:val="000000"/>
          <w:szCs w:val="21"/>
        </w:rPr>
        <w:t>2008</w:t>
      </w:r>
      <w:r>
        <w:rPr>
          <w:rFonts w:hint="eastAsia" w:cs="Times New Roman" w:asciiTheme="minorEastAsia" w:hAnsiTheme="minorEastAsia"/>
          <w:color w:val="000000"/>
          <w:szCs w:val="21"/>
        </w:rPr>
        <w:t xml:space="preserve"> </w:t>
      </w:r>
      <w:r>
        <w:rPr>
          <w:rFonts w:cs="Times New Roman" w:asciiTheme="minorEastAsia" w:hAnsiTheme="minorEastAsia"/>
          <w:color w:val="000000"/>
          <w:szCs w:val="21"/>
        </w:rPr>
        <w:t>家用和类似用途电器的安全  电热毯、电热垫及类似柔性发热器具的特殊要求</w:t>
      </w:r>
    </w:p>
    <w:p>
      <w:pPr>
        <w:adjustRightInd w:val="0"/>
        <w:snapToGrid w:val="0"/>
        <w:spacing w:line="360" w:lineRule="auto"/>
        <w:ind w:firstLine="417" w:firstLineChars="199"/>
        <w:rPr>
          <w:rFonts w:cs="Times New Roman" w:asciiTheme="minorEastAsia" w:hAnsiTheme="minorEastAsia"/>
          <w:color w:val="000000"/>
          <w:szCs w:val="21"/>
        </w:rPr>
      </w:pPr>
      <w:r>
        <w:rPr>
          <w:rFonts w:cs="Times New Roman" w:asciiTheme="minorEastAsia" w:hAnsiTheme="minorEastAsia"/>
          <w:color w:val="000000"/>
          <w:szCs w:val="21"/>
        </w:rPr>
        <w:t>现行有效的企业标准、团体标准、地方标准及产品明示质量要求</w:t>
      </w:r>
    </w:p>
    <w:p>
      <w:pPr>
        <w:spacing w:line="360" w:lineRule="auto"/>
        <w:rPr>
          <w:rFonts w:hint="eastAsia" w:asciiTheme="majorEastAsia" w:hAnsiTheme="majorEastAsia" w:eastAsiaTheme="majorEastAsia" w:cstheme="majorEastAsia"/>
          <w:b/>
          <w:bCs/>
          <w:szCs w:val="21"/>
        </w:rPr>
      </w:pPr>
      <w:bookmarkStart w:id="0" w:name="_GoBack"/>
      <w:r>
        <w:rPr>
          <w:rFonts w:hint="eastAsia" w:asciiTheme="majorEastAsia" w:hAnsiTheme="majorEastAsia" w:eastAsiaTheme="majorEastAsia" w:cstheme="majorEastAsia"/>
          <w:b/>
          <w:bCs/>
          <w:szCs w:val="21"/>
        </w:rPr>
        <w:t>3.2判定原则</w:t>
      </w:r>
    </w:p>
    <w:bookmarkEnd w:id="0"/>
    <w:p>
      <w:pPr>
        <w:snapToGrid w:val="0"/>
        <w:spacing w:line="440" w:lineRule="exact"/>
        <w:ind w:firstLine="417" w:firstLineChars="199"/>
        <w:rPr>
          <w:color w:val="000000"/>
          <w:szCs w:val="21"/>
        </w:rPr>
      </w:pPr>
      <w:r>
        <w:rPr>
          <w:color w:val="000000"/>
          <w:szCs w:val="21"/>
        </w:rPr>
        <w:t>经检验，</w:t>
      </w:r>
      <w:r>
        <w:rPr>
          <w:rFonts w:hint="eastAsia"/>
          <w:color w:val="000000"/>
          <w:szCs w:val="21"/>
        </w:rPr>
        <w:t>所</w:t>
      </w:r>
      <w:r>
        <w:rPr>
          <w:color w:val="000000"/>
          <w:szCs w:val="21"/>
        </w:rPr>
        <w:t>检验项目全部</w:t>
      </w:r>
      <w:r>
        <w:rPr>
          <w:rFonts w:hint="eastAsia"/>
          <w:color w:val="000000"/>
          <w:szCs w:val="21"/>
        </w:rPr>
        <w:t>符合标准要求</w:t>
      </w:r>
      <w:r>
        <w:rPr>
          <w:color w:val="000000"/>
          <w:szCs w:val="21"/>
        </w:rPr>
        <w:t>，判定为被抽查产品</w:t>
      </w:r>
      <w:r>
        <w:rPr>
          <w:rFonts w:hint="eastAsia"/>
          <w:color w:val="000000"/>
          <w:szCs w:val="21"/>
        </w:rPr>
        <w:t>未发现不</w:t>
      </w:r>
      <w:r>
        <w:rPr>
          <w:color w:val="000000"/>
          <w:szCs w:val="21"/>
        </w:rPr>
        <w:t>合格；检验项目中任一项或一项以上不合格，判定为被抽查产品不合格。</w:t>
      </w:r>
    </w:p>
    <w:p>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若被检产品明示的质量要求低于或包含</w:t>
      </w:r>
      <w:r>
        <w:rPr>
          <w:rFonts w:hint="eastAsia"/>
          <w:color w:val="000000"/>
          <w:szCs w:val="21"/>
        </w:rPr>
        <w:t>本</w:t>
      </w:r>
      <w:r>
        <w:rPr>
          <w:color w:val="000000"/>
          <w:szCs w:val="21"/>
        </w:rPr>
        <w:t>细则中检验项目依据的推荐性标准要求时，应以被检产品明示的质量要求判定，但应在检验报告备注中进行说明。</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color w:val="FF0000"/>
          <w:szCs w:val="21"/>
        </w:rPr>
      </w:pPr>
      <w:r>
        <w:rPr>
          <w:color w:val="000000"/>
          <w:szCs w:val="21"/>
        </w:rPr>
        <w:t>若被检产品明示的质量要求缺少本细则中检验项目依据的推荐性标准要求时，该项目不参与判定，但应在检验报告备注中进行说明。</w:t>
      </w:r>
    </w:p>
    <w:p>
      <w:pPr>
        <w:spacing w:line="360" w:lineRule="auto"/>
        <w:ind w:firstLine="420" w:firstLineChars="200"/>
        <w:rPr>
          <w:rFonts w:hAnsi="宋体"/>
          <w:szCs w:val="21"/>
        </w:rPr>
      </w:pPr>
    </w:p>
    <w:p/>
    <w:sectPr>
      <w:footerReference r:id="rId3" w:type="default"/>
      <w:pgSz w:w="11906" w:h="16838"/>
      <w:pgMar w:top="1701" w:right="1418" w:bottom="1701" w:left="1418" w:header="737" w:footer="73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kern w:val="0"/>
        <w:szCs w:val="21"/>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0792F"/>
    <w:multiLevelType w:val="singleLevel"/>
    <w:tmpl w:val="49D0792F"/>
    <w:lvl w:ilvl="0" w:tentative="0">
      <w:start w:val="1"/>
      <w:numFmt w:val="chineseCounting"/>
      <w:pStyle w:val="8"/>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541DC"/>
    <w:rsid w:val="04A74211"/>
    <w:rsid w:val="06490D86"/>
    <w:rsid w:val="08A16AC6"/>
    <w:rsid w:val="09483D23"/>
    <w:rsid w:val="095C087E"/>
    <w:rsid w:val="0D9528E5"/>
    <w:rsid w:val="196B0845"/>
    <w:rsid w:val="19EF1B21"/>
    <w:rsid w:val="1AA37431"/>
    <w:rsid w:val="23704368"/>
    <w:rsid w:val="288C3623"/>
    <w:rsid w:val="2B95405B"/>
    <w:rsid w:val="2C58166D"/>
    <w:rsid w:val="2C732F30"/>
    <w:rsid w:val="3454298C"/>
    <w:rsid w:val="382D5143"/>
    <w:rsid w:val="38C81339"/>
    <w:rsid w:val="3A3C40CB"/>
    <w:rsid w:val="3C5541DC"/>
    <w:rsid w:val="41CC7D63"/>
    <w:rsid w:val="442F08D9"/>
    <w:rsid w:val="44FC2CEC"/>
    <w:rsid w:val="47150E58"/>
    <w:rsid w:val="477641E4"/>
    <w:rsid w:val="47845FFE"/>
    <w:rsid w:val="496B79B6"/>
    <w:rsid w:val="5AF12B9A"/>
    <w:rsid w:val="5E1F052E"/>
    <w:rsid w:val="676C0C5A"/>
    <w:rsid w:val="6ABD786B"/>
    <w:rsid w:val="73D5607A"/>
    <w:rsid w:val="74A3135C"/>
    <w:rsid w:val="7A1F3457"/>
    <w:rsid w:val="7A4F5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jc w:val="center"/>
      <w:outlineLvl w:val="0"/>
    </w:pPr>
    <w:rPr>
      <w:rFonts w:ascii="方正小标宋简体" w:eastAsia="方正小标宋简体"/>
      <w:kern w:val="44"/>
      <w:sz w:val="38"/>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作业指导书一级目录"/>
    <w:basedOn w:val="1"/>
    <w:qFormat/>
    <w:uiPriority w:val="0"/>
    <w:pPr>
      <w:numPr>
        <w:ilvl w:val="0"/>
        <w:numId w:val="1"/>
      </w:numPr>
      <w:spacing w:before="156" w:line="360" w:lineRule="auto"/>
      <w:jc w:val="left"/>
    </w:pPr>
    <w:rPr>
      <w:rFonts w:ascii="Times New Roman" w:hAnsi="Times New Roman" w:eastAsia="宋体"/>
      <w:b/>
      <w:sz w:val="32"/>
    </w:rPr>
  </w:style>
  <w:style w:type="character" w:customStyle="1" w:styleId="9">
    <w:name w:val="15"/>
    <w:basedOn w:val="6"/>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2025-05-12T06:09:00Z</dcterms:created>
  <dc:creator>JYJD</dc:creator>
  <cp:lastModifiedBy>Administrator</cp:lastModifiedBy>
  <dcterms:modified xsi:type="dcterms:W3CDTF">2025-05-19T06:43:44Z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