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家用燃气灶</w:t>
      </w:r>
      <w:r>
        <w:rPr>
          <w:rFonts w:hint="eastAsia" w:eastAsia="方正小标宋简体"/>
          <w:color w:val="000000"/>
          <w:sz w:val="32"/>
          <w:szCs w:val="32"/>
        </w:rPr>
        <w:t>产品</w:t>
      </w: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int="eastAsia"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snapToGrid w:val="0"/>
        <w:spacing w:line="440" w:lineRule="exact"/>
        <w:ind w:firstLine="420" w:firstLineChars="200"/>
        <w:rPr>
          <w:szCs w:val="21"/>
        </w:rPr>
      </w:pPr>
      <w:r>
        <w:rPr>
          <w:szCs w:val="21"/>
        </w:rPr>
        <w:t>随机数一般可使用随机数表等方法产生。</w:t>
      </w:r>
    </w:p>
    <w:p>
      <w:pPr>
        <w:snapToGrid w:val="0"/>
        <w:spacing w:line="440" w:lineRule="exact"/>
        <w:ind w:firstLine="420" w:firstLineChars="200"/>
        <w:rPr>
          <w:rFonts w:hAnsi="宋体"/>
          <w:szCs w:val="21"/>
        </w:rPr>
      </w:pPr>
      <w:r>
        <w:rPr>
          <w:rFonts w:ascii="Times New Roman" w:hAnsi="Times New Roman"/>
          <w:color w:val="auto"/>
          <w:szCs w:val="21"/>
        </w:rPr>
        <w:t>每</w:t>
      </w:r>
      <w:r>
        <w:rPr>
          <w:rFonts w:hint="eastAsia" w:ascii="Times New Roman" w:hAnsi="Times New Roman"/>
          <w:color w:val="auto"/>
          <w:szCs w:val="21"/>
          <w:lang w:val="en-US" w:eastAsia="zh-CN"/>
        </w:rPr>
        <w:t>一抽检</w:t>
      </w:r>
      <w:r>
        <w:rPr>
          <w:rFonts w:ascii="Times New Roman" w:hAnsi="Times New Roman"/>
          <w:color w:val="auto"/>
          <w:szCs w:val="21"/>
        </w:rPr>
        <w:t>批次</w:t>
      </w:r>
      <w:r>
        <w:rPr>
          <w:rFonts w:ascii="Times New Roman" w:hAnsi="Times New Roman"/>
          <w:szCs w:val="21"/>
        </w:rPr>
        <w:t>产品抽取样品2件，其中1件作为检验样品，1件作为备用样品</w:t>
      </w:r>
      <w:r>
        <w:rPr>
          <w:rFonts w:hint="eastAsia"/>
          <w:szCs w:val="21"/>
        </w:rPr>
        <w:t>。</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lang w:val="en-US" w:eastAsia="zh-CN"/>
        </w:rPr>
        <w:t>1</w:t>
      </w:r>
      <w:r>
        <w:rPr>
          <w:rFonts w:hAnsi="宋体"/>
          <w:szCs w:val="21"/>
        </w:rPr>
        <w:t>。</w:t>
      </w:r>
    </w:p>
    <w:p>
      <w:pPr>
        <w:snapToGrid w:val="0"/>
        <w:spacing w:line="440" w:lineRule="exact"/>
        <w:ind w:left="0" w:leftChars="0" w:firstLine="0" w:firstLineChars="0"/>
        <w:jc w:val="center"/>
        <w:rPr>
          <w:rFonts w:hint="default" w:eastAsia="宋体" w:cs="Times New Roman"/>
          <w:szCs w:val="21"/>
          <w:lang w:val="en-US" w:eastAsia="zh-CN"/>
        </w:rPr>
      </w:pPr>
      <w:r>
        <w:rPr>
          <w:szCs w:val="21"/>
        </w:rPr>
        <w:t>表</w:t>
      </w:r>
      <w:r>
        <w:rPr>
          <w:rFonts w:hint="eastAsia"/>
          <w:szCs w:val="21"/>
          <w:lang w:val="en-US" w:eastAsia="zh-CN"/>
        </w:rPr>
        <w:t>1</w:t>
      </w:r>
      <w:r>
        <w:t xml:space="preserve">  </w:t>
      </w:r>
      <w:r>
        <w:rPr>
          <w:rFonts w:hint="eastAsia"/>
          <w:szCs w:val="21"/>
          <w:lang w:val="en-US" w:eastAsia="zh-CN"/>
        </w:rPr>
        <w:t>家用燃气灶</w:t>
      </w:r>
      <w:r>
        <w:rPr>
          <w:szCs w:val="21"/>
        </w:rPr>
        <w:t>检验项目</w:t>
      </w:r>
    </w:p>
    <w:tbl>
      <w:tblPr>
        <w:tblStyle w:val="9"/>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5363"/>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blHeader/>
          <w:jc w:val="center"/>
        </w:trPr>
        <w:tc>
          <w:tcPr>
            <w:tcW w:w="888" w:type="dxa"/>
            <w:noWrap w:val="0"/>
            <w:vAlign w:val="center"/>
          </w:tcPr>
          <w:p>
            <w:pPr>
              <w:snapToGrid w:val="0"/>
              <w:spacing w:line="300" w:lineRule="exact"/>
              <w:jc w:val="center"/>
              <w:rPr>
                <w:szCs w:val="21"/>
              </w:rPr>
            </w:pPr>
            <w:r>
              <w:rPr>
                <w:szCs w:val="21"/>
              </w:rPr>
              <w:t>序号</w:t>
            </w:r>
          </w:p>
        </w:tc>
        <w:tc>
          <w:tcPr>
            <w:tcW w:w="5363" w:type="dxa"/>
            <w:noWrap w:val="0"/>
            <w:vAlign w:val="center"/>
          </w:tcPr>
          <w:p>
            <w:pPr>
              <w:snapToGrid w:val="0"/>
              <w:spacing w:line="300" w:lineRule="exact"/>
              <w:jc w:val="center"/>
              <w:rPr>
                <w:szCs w:val="21"/>
              </w:rPr>
            </w:pPr>
            <w:r>
              <w:rPr>
                <w:szCs w:val="21"/>
              </w:rPr>
              <w:t>检验项目</w:t>
            </w:r>
          </w:p>
        </w:tc>
        <w:tc>
          <w:tcPr>
            <w:tcW w:w="2078" w:type="dxa"/>
            <w:noWrap w:val="0"/>
            <w:vAlign w:val="center"/>
          </w:tcPr>
          <w:p>
            <w:pPr>
              <w:snapToGrid w:val="0"/>
              <w:spacing w:line="30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szCs w:val="21"/>
              </w:rPr>
            </w:pPr>
            <w:r>
              <w:rPr>
                <w:szCs w:val="21"/>
              </w:rPr>
              <w:t>1</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气密性</w:t>
            </w:r>
          </w:p>
        </w:tc>
        <w:tc>
          <w:tcPr>
            <w:tcW w:w="2078" w:type="dxa"/>
            <w:noWrap w:val="0"/>
            <w:vAlign w:val="center"/>
          </w:tcPr>
          <w:p>
            <w:pPr>
              <w:snapToGrid w:val="0"/>
              <w:spacing w:line="300" w:lineRule="exact"/>
              <w:jc w:val="center"/>
            </w:pPr>
            <w:r>
              <w:t>GB 16410—</w:t>
            </w:r>
            <w:r>
              <w:rPr>
                <w:rFonts w:hint="eastAsia"/>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szCs w:val="21"/>
              </w:rPr>
            </w:pPr>
            <w:r>
              <w:rPr>
                <w:szCs w:val="21"/>
              </w:rPr>
              <w:t>2</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热负荷</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3</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离焰</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4</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熄火</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5</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回火</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6</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燃烧噪声</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7</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熄火噪声</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8</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干烟气中CO浓度（室内型）</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9</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温升（操作时手必需接触的部位）</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eastAsia="宋体"/>
                <w:szCs w:val="21"/>
                <w:lang w:val="en-US" w:eastAsia="zh-CN"/>
              </w:rPr>
            </w:pPr>
            <w:r>
              <w:rPr>
                <w:rFonts w:hint="eastAsia"/>
                <w:szCs w:val="21"/>
                <w:lang w:val="en-US" w:eastAsia="zh-CN"/>
              </w:rPr>
              <w:t>10</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耐热冲击</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default" w:eastAsia="宋体"/>
                <w:szCs w:val="21"/>
                <w:lang w:val="en-US" w:eastAsia="zh-CN"/>
              </w:rPr>
            </w:pPr>
            <w:r>
              <w:rPr>
                <w:rFonts w:hint="eastAsia"/>
                <w:szCs w:val="21"/>
                <w:lang w:val="en-US" w:eastAsia="zh-CN"/>
              </w:rPr>
              <w:t>11</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耐重力冲击</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default" w:eastAsia="宋体"/>
                <w:szCs w:val="21"/>
                <w:lang w:val="en-US" w:eastAsia="zh-CN"/>
              </w:rPr>
            </w:pPr>
            <w:r>
              <w:rPr>
                <w:rFonts w:hint="eastAsia"/>
                <w:szCs w:val="21"/>
                <w:lang w:val="en-US" w:eastAsia="zh-CN"/>
              </w:rPr>
              <w:t>12</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熄火保护装置—闭阀时间</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default" w:eastAsia="宋体"/>
                <w:szCs w:val="21"/>
                <w:lang w:val="en-US" w:eastAsia="zh-CN"/>
              </w:rPr>
            </w:pPr>
            <w:r>
              <w:rPr>
                <w:rFonts w:hint="eastAsia"/>
                <w:szCs w:val="21"/>
                <w:lang w:val="en-US" w:eastAsia="zh-CN"/>
              </w:rPr>
              <w:t>13</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热效率</w:t>
            </w:r>
          </w:p>
        </w:tc>
        <w:tc>
          <w:tcPr>
            <w:tcW w:w="2078" w:type="dxa"/>
            <w:noWrap w:val="0"/>
            <w:vAlign w:val="center"/>
          </w:tcPr>
          <w:p>
            <w:pPr>
              <w:snapToGrid w:val="0"/>
              <w:spacing w:line="300" w:lineRule="exact"/>
              <w:jc w:val="center"/>
            </w:pPr>
            <w:r>
              <w:t>GB 16410—20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default" w:eastAsia="宋体"/>
                <w:szCs w:val="21"/>
                <w:lang w:val="en-US" w:eastAsia="zh-CN"/>
              </w:rPr>
            </w:pPr>
            <w:r>
              <w:rPr>
                <w:rFonts w:hint="eastAsia"/>
                <w:szCs w:val="21"/>
                <w:lang w:val="en-US" w:eastAsia="zh-CN"/>
              </w:rPr>
              <w:t>14</w:t>
            </w:r>
          </w:p>
        </w:tc>
        <w:tc>
          <w:tcPr>
            <w:tcW w:w="5363" w:type="dxa"/>
            <w:noWrap w:val="0"/>
            <w:vAlign w:val="center"/>
          </w:tcPr>
          <w:p>
            <w:pPr>
              <w:pStyle w:val="8"/>
              <w:widowControl/>
              <w:wordWrap w:val="0"/>
              <w:spacing w:beforeAutospacing="0" w:afterAutospacing="0" w:line="26" w:lineRule="atLeast"/>
              <w:jc w:val="center"/>
              <w:textAlignment w:val="baseline"/>
            </w:pPr>
            <w:r>
              <w:rPr>
                <w:rFonts w:hint="eastAsia" w:ascii="宋体" w:hAnsi="宋体" w:eastAsia="宋体" w:cs="宋体"/>
                <w:color w:val="333333"/>
                <w:sz w:val="21"/>
              </w:rPr>
              <w:t>结构的一般要求（燃气导管、燃烧器的熄火保护装置）</w:t>
            </w:r>
          </w:p>
        </w:tc>
        <w:tc>
          <w:tcPr>
            <w:tcW w:w="2078" w:type="dxa"/>
            <w:noWrap w:val="0"/>
            <w:vAlign w:val="center"/>
          </w:tcPr>
          <w:p>
            <w:pPr>
              <w:snapToGrid w:val="0"/>
              <w:spacing w:line="300" w:lineRule="exact"/>
              <w:jc w:val="center"/>
            </w:pPr>
            <w:r>
              <w:t>GB 16410—20</w:t>
            </w:r>
            <w:r>
              <w:rPr>
                <w:rFonts w:hint="eastAsia"/>
              </w:rPr>
              <w:t>20</w:t>
            </w:r>
          </w:p>
        </w:tc>
      </w:tr>
    </w:tbl>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w:t>
      </w:r>
      <w:bookmarkStart w:id="0" w:name="_GoBack"/>
      <w:bookmarkEnd w:id="0"/>
      <w:r>
        <w:rPr>
          <w:rFonts w:hint="eastAsia" w:asciiTheme="majorEastAsia" w:hAnsiTheme="majorEastAsia" w:eastAsiaTheme="majorEastAsia" w:cstheme="majorEastAsia"/>
          <w:b/>
          <w:bCs/>
          <w:szCs w:val="21"/>
        </w:rPr>
        <w:t>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napToGrid w:val="0"/>
        <w:spacing w:line="440" w:lineRule="exact"/>
        <w:ind w:firstLine="420" w:firstLineChars="200"/>
        <w:rPr>
          <w:szCs w:val="21"/>
        </w:rPr>
      </w:pPr>
      <w:r>
        <w:rPr>
          <w:szCs w:val="21"/>
        </w:rPr>
        <w:t>GB 16410</w:t>
      </w:r>
      <w:r>
        <w:t>—</w:t>
      </w:r>
      <w:r>
        <w:rPr>
          <w:szCs w:val="21"/>
        </w:rPr>
        <w:t>20</w:t>
      </w:r>
      <w:r>
        <w:rPr>
          <w:rFonts w:hint="eastAsia"/>
          <w:szCs w:val="21"/>
        </w:rPr>
        <w:t>20</w:t>
      </w:r>
      <w:r>
        <w:rPr>
          <w:szCs w:val="21"/>
        </w:rPr>
        <w:t xml:space="preserve"> 家用燃气灶具</w:t>
      </w:r>
    </w:p>
    <w:p>
      <w:pPr>
        <w:snapToGrid w:val="0"/>
        <w:spacing w:line="360" w:lineRule="auto"/>
        <w:ind w:firstLine="420" w:firstLineChars="200"/>
        <w:rPr>
          <w:rFonts w:hint="eastAsia" w:ascii="Times New Roman" w:hAnsi="Times New Roman"/>
          <w:color w:val="000000"/>
          <w:szCs w:val="21"/>
        </w:rPr>
      </w:pPr>
      <w:r>
        <w:rPr>
          <w:szCs w:val="21"/>
        </w:rPr>
        <w:t>GB 30720</w:t>
      </w:r>
      <w:r>
        <w:t>—</w:t>
      </w:r>
      <w:r>
        <w:rPr>
          <w:szCs w:val="21"/>
        </w:rPr>
        <w:t>2014 家用燃气灶具能效限定值及能效等级</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8B73BC8"/>
    <w:rsid w:val="1A8B5A01"/>
    <w:rsid w:val="20456C31"/>
    <w:rsid w:val="3EE561F0"/>
    <w:rsid w:val="3F2907D2"/>
    <w:rsid w:val="4B117389"/>
    <w:rsid w:val="4F8D5739"/>
    <w:rsid w:val="58844520"/>
    <w:rsid w:val="5D0958D2"/>
    <w:rsid w:val="678C5B51"/>
    <w:rsid w:val="68065EA9"/>
    <w:rsid w:val="71514B8F"/>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4"/>
    <w:qFormat/>
    <w:uiPriority w:val="0"/>
    <w:rPr>
      <w:rFonts w:ascii="Calibri" w:hAnsi="Calibri" w:eastAsia="仿宋_GB2312"/>
      <w:b/>
      <w:bCs/>
      <w:kern w:val="2"/>
      <w:sz w:val="28"/>
      <w:szCs w:val="28"/>
    </w:rPr>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2</TotalTime>
  <ScaleCrop>false</ScaleCrop>
  <LinksUpToDate>false</LinksUpToDate>
  <CharactersWithSpaces>4522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2025-05-19T07:04:20Z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