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eastAsia="方正小标宋简体" w:cs="方正仿宋简体"/>
          <w:sz w:val="32"/>
          <w:szCs w:val="32"/>
        </w:rPr>
      </w:pPr>
      <w:r>
        <w:rPr>
          <w:rFonts w:hint="eastAsia" w:eastAsia="方正小标宋简体" w:cs="方正仿宋简体"/>
          <w:sz w:val="32"/>
          <w:szCs w:val="32"/>
        </w:rPr>
        <w:t>广州市</w:t>
      </w:r>
      <w:r>
        <w:rPr>
          <w:rFonts w:hint="eastAsia" w:eastAsia="方正小标宋简体"/>
          <w:color w:val="000000"/>
          <w:sz w:val="32"/>
          <w:szCs w:val="32"/>
          <w:lang w:eastAsia="zh-CN"/>
        </w:rPr>
        <w:t>海珠区</w:t>
      </w:r>
      <w:r>
        <w:rPr>
          <w:rFonts w:hint="eastAsia" w:eastAsia="方正小标宋简体" w:cs="方正仿宋简体"/>
          <w:sz w:val="32"/>
          <w:szCs w:val="32"/>
        </w:rPr>
        <w:t>市场监督管理局摩托车、电动自行车乘员头盔产品</w:t>
      </w:r>
    </w:p>
    <w:p>
      <w:pPr>
        <w:spacing w:line="594" w:lineRule="exact"/>
        <w:jc w:val="center"/>
        <w:rPr>
          <w:rFonts w:hint="eastAsia" w:eastAsia="方正小标宋简体" w:cs="方正仿宋简体"/>
          <w:sz w:val="32"/>
          <w:szCs w:val="32"/>
        </w:rPr>
      </w:pPr>
      <w:r>
        <w:rPr>
          <w:rFonts w:hint="eastAsia" w:eastAsia="方正小标宋简体" w:cs="方正仿宋简体"/>
          <w:sz w:val="32"/>
          <w:szCs w:val="32"/>
        </w:rPr>
        <w:t>质量监督抽查实施细则</w:t>
      </w:r>
    </w:p>
    <w:p>
      <w:pPr>
        <w:spacing w:line="594" w:lineRule="exact"/>
        <w:jc w:val="center"/>
        <w:rPr>
          <w:rFonts w:eastAsia="方正小标宋简体"/>
          <w:sz w:val="32"/>
          <w:szCs w:val="32"/>
        </w:rPr>
      </w:pPr>
      <w:r>
        <w:rPr>
          <w:rFonts w:hint="eastAsia" w:eastAsia="方正小标宋简体" w:cs="方正仿宋简体"/>
          <w:sz w:val="32"/>
          <w:szCs w:val="32"/>
        </w:rPr>
        <w:t>（2025年</w:t>
      </w:r>
      <w:r>
        <w:rPr>
          <w:rFonts w:hint="eastAsia" w:eastAsia="方正小标宋简体" w:cs="方正仿宋简体"/>
          <w:sz w:val="32"/>
          <w:szCs w:val="32"/>
          <w:lang w:val="en-US" w:eastAsia="zh-CN"/>
        </w:rPr>
        <w:t>版</w:t>
      </w:r>
      <w:r>
        <w:rPr>
          <w:rFonts w:hint="eastAsia" w:eastAsia="方正小标宋简体" w:cs="方正仿宋简体"/>
          <w:sz w:val="32"/>
          <w:szCs w:val="32"/>
        </w:rPr>
        <w:t>）</w:t>
      </w:r>
      <w:r>
        <w:rPr>
          <w:rFonts w:hint="eastAsia" w:eastAsia="方正小标宋简体" w:cs="方正仿宋简体"/>
          <w:sz w:val="32"/>
          <w:szCs w:val="32"/>
        </w:rPr>
        <w:br w:type="textWrapping"/>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宋体" w:cs="Times New Roman"/>
          <w:szCs w:val="21"/>
        </w:rPr>
      </w:pPr>
      <w:r>
        <w:rPr>
          <w:rFonts w:hint="eastAsia" w:ascii="Times New Roman" w:hAnsi="宋体" w:cs="Times New Roman"/>
          <w:szCs w:val="21"/>
        </w:rPr>
        <w:t>抽查样品基数应满足抽样数量要求。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宋体" w:cs="Times New Roman"/>
          <w:szCs w:val="21"/>
        </w:rPr>
      </w:pPr>
      <w:r>
        <w:rPr>
          <w:rFonts w:hint="eastAsia" w:ascii="Times New Roman" w:hAnsi="宋体" w:cs="Times New Roman"/>
          <w:szCs w:val="21"/>
        </w:rPr>
        <w:t>每一抽检批次产品抽取样品4顶，其中2顶作为检验样品，2顶作为备用样品。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宋体" w:cs="Times New Roman"/>
          <w:szCs w:val="21"/>
        </w:rPr>
      </w:pPr>
      <w:r>
        <w:rPr>
          <w:rFonts w:hint="eastAsia" w:ascii="Times New Roman" w:hAnsi="宋体" w:cs="Times New Roman"/>
          <w:szCs w:val="21"/>
        </w:rPr>
        <w:t>随机数一般可使用随机数表、随机数骰子或扑克牌等方法产生。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宋体" w:cs="Times New Roman"/>
          <w:szCs w:val="21"/>
        </w:rPr>
      </w:pPr>
      <w:r>
        <w:rPr>
          <w:rFonts w:hint="eastAsia" w:ascii="Times New Roman" w:hAnsi="宋体" w:cs="Times New Roman"/>
          <w:szCs w:val="21"/>
        </w:rPr>
        <w:t>对于执行企业产品标准的产品，受检单位或生产单位还应在抽样时提供有效的企业产品标准。</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2、</w:t>
      </w:r>
      <w:r>
        <w:rPr>
          <w:rFonts w:hint="eastAsia" w:asciiTheme="majorEastAsia" w:hAnsiTheme="majorEastAsia" w:eastAsiaTheme="majorEastAsia" w:cstheme="majorEastAsia"/>
          <w:b/>
          <w:bCs/>
          <w:szCs w:val="21"/>
        </w:rPr>
        <w:t>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asciiTheme="minorEastAsia" w:hAnsiTheme="minorEastAsia" w:eastAsiaTheme="minorEastAsia"/>
          <w:szCs w:val="21"/>
        </w:rPr>
        <w:t>表</w:t>
      </w:r>
      <w:r>
        <w:rPr>
          <w:rFonts w:hint="eastAsia" w:asciiTheme="minorEastAsia" w:hAnsiTheme="minorEastAsia" w:eastAsiaTheme="minorEastAsia"/>
          <w:szCs w:val="21"/>
          <w:lang w:val="en-US" w:eastAsia="zh-CN"/>
        </w:rPr>
        <w:t>1。</w:t>
      </w:r>
    </w:p>
    <w:p>
      <w:pPr>
        <w:snapToGrid w:val="0"/>
        <w:spacing w:line="440" w:lineRule="exact"/>
        <w:jc w:val="center"/>
        <w:rPr>
          <w:rFonts w:hint="eastAsia" w:ascii="宋体" w:hAnsi="宋体" w:cs="宋体"/>
          <w:szCs w:val="21"/>
        </w:rPr>
      </w:pPr>
      <w:r>
        <w:rPr>
          <w:rFonts w:hint="eastAsia" w:ascii="宋体" w:hAnsi="宋体" w:cs="宋体"/>
          <w:szCs w:val="21"/>
        </w:rPr>
        <w:t>表1 摩托车、电动自行车乘员头盔</w:t>
      </w:r>
    </w:p>
    <w:tbl>
      <w:tblPr>
        <w:tblStyle w:val="9"/>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83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napToGrid w:val="0"/>
              <w:spacing w:line="300" w:lineRule="exact"/>
              <w:jc w:val="center"/>
              <w:rPr>
                <w:color w:val="000000"/>
                <w:szCs w:val="21"/>
              </w:rPr>
            </w:pPr>
            <w:r>
              <w:rPr>
                <w:color w:val="000000"/>
                <w:szCs w:val="21"/>
              </w:rPr>
              <w:t>序号</w:t>
            </w:r>
          </w:p>
        </w:tc>
        <w:tc>
          <w:tcPr>
            <w:tcW w:w="3544" w:type="dxa"/>
            <w:gridSpan w:val="2"/>
            <w:noWrap w:val="0"/>
            <w:vAlign w:val="top"/>
          </w:tcPr>
          <w:p>
            <w:pPr>
              <w:snapToGrid w:val="0"/>
              <w:spacing w:line="300" w:lineRule="exact"/>
              <w:jc w:val="center"/>
              <w:rPr>
                <w:color w:val="000000"/>
                <w:szCs w:val="21"/>
              </w:rPr>
            </w:pPr>
            <w:r>
              <w:rPr>
                <w:color w:val="000000"/>
                <w:szCs w:val="21"/>
              </w:rPr>
              <w:t>检验项目</w:t>
            </w:r>
          </w:p>
        </w:tc>
        <w:tc>
          <w:tcPr>
            <w:tcW w:w="4536" w:type="dxa"/>
            <w:noWrap w:val="0"/>
            <w:vAlign w:val="top"/>
          </w:tcPr>
          <w:p>
            <w:pPr>
              <w:snapToGrid w:val="0"/>
              <w:spacing w:line="30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noWrap w:val="0"/>
            <w:vAlign w:val="center"/>
          </w:tcPr>
          <w:p>
            <w:pPr>
              <w:snapToGrid w:val="0"/>
              <w:spacing w:line="300" w:lineRule="exact"/>
              <w:jc w:val="center"/>
              <w:rPr>
                <w:color w:val="000000"/>
                <w:szCs w:val="21"/>
              </w:rPr>
            </w:pPr>
            <w:r>
              <w:rPr>
                <w:color w:val="000000"/>
                <w:szCs w:val="21"/>
              </w:rPr>
              <w:t>1</w:t>
            </w:r>
          </w:p>
        </w:tc>
        <w:tc>
          <w:tcPr>
            <w:tcW w:w="709" w:type="dxa"/>
            <w:vMerge w:val="restart"/>
            <w:noWrap w:val="0"/>
            <w:vAlign w:val="center"/>
          </w:tcPr>
          <w:p>
            <w:pPr>
              <w:snapToGrid w:val="0"/>
              <w:spacing w:line="300" w:lineRule="exact"/>
              <w:jc w:val="center"/>
              <w:rPr>
                <w:color w:val="000000"/>
                <w:szCs w:val="21"/>
              </w:rPr>
            </w:pPr>
            <w:r>
              <w:rPr>
                <w:color w:val="000000"/>
                <w:szCs w:val="21"/>
              </w:rPr>
              <w:t>结构</w:t>
            </w:r>
          </w:p>
        </w:tc>
        <w:tc>
          <w:tcPr>
            <w:tcW w:w="2835" w:type="dxa"/>
            <w:noWrap w:val="0"/>
            <w:vAlign w:val="top"/>
          </w:tcPr>
          <w:p>
            <w:pPr>
              <w:snapToGrid w:val="0"/>
              <w:spacing w:line="300" w:lineRule="exact"/>
              <w:jc w:val="center"/>
              <w:rPr>
                <w:color w:val="000000"/>
                <w:szCs w:val="21"/>
              </w:rPr>
            </w:pPr>
            <w:r>
              <w:rPr>
                <w:color w:val="000000"/>
                <w:szCs w:val="21"/>
              </w:rPr>
              <w:t>壳体</w:t>
            </w:r>
            <w:r>
              <w:rPr>
                <w:color w:val="000000"/>
                <w:szCs w:val="21"/>
                <w:vertAlign w:val="superscript"/>
              </w:rPr>
              <w:t>a</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noWrap w:val="0"/>
            <w:vAlign w:val="center"/>
          </w:tcPr>
          <w:p>
            <w:pPr>
              <w:snapToGrid w:val="0"/>
              <w:spacing w:line="300" w:lineRule="exact"/>
              <w:jc w:val="center"/>
              <w:rPr>
                <w:color w:val="000000"/>
                <w:szCs w:val="21"/>
              </w:rPr>
            </w:pPr>
          </w:p>
        </w:tc>
        <w:tc>
          <w:tcPr>
            <w:tcW w:w="709" w:type="dxa"/>
            <w:vMerge w:val="continue"/>
            <w:noWrap w:val="0"/>
            <w:vAlign w:val="center"/>
          </w:tcPr>
          <w:p>
            <w:pPr>
              <w:snapToGrid w:val="0"/>
              <w:spacing w:line="300" w:lineRule="exact"/>
              <w:jc w:val="center"/>
              <w:rPr>
                <w:color w:val="000000"/>
                <w:szCs w:val="21"/>
              </w:rPr>
            </w:pPr>
          </w:p>
        </w:tc>
        <w:tc>
          <w:tcPr>
            <w:tcW w:w="2835" w:type="dxa"/>
            <w:noWrap w:val="0"/>
            <w:vAlign w:val="top"/>
          </w:tcPr>
          <w:p>
            <w:pPr>
              <w:snapToGrid w:val="0"/>
              <w:spacing w:line="300" w:lineRule="exact"/>
              <w:jc w:val="center"/>
              <w:rPr>
                <w:color w:val="000000"/>
                <w:szCs w:val="21"/>
              </w:rPr>
            </w:pPr>
            <w:r>
              <w:rPr>
                <w:color w:val="000000"/>
                <w:szCs w:val="21"/>
              </w:rPr>
              <w:t>缓冲层</w:t>
            </w:r>
            <w:r>
              <w:rPr>
                <w:color w:val="000000"/>
                <w:szCs w:val="21"/>
                <w:vertAlign w:val="superscript"/>
              </w:rPr>
              <w:t>b</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noWrap w:val="0"/>
            <w:vAlign w:val="top"/>
          </w:tcPr>
          <w:p>
            <w:pPr>
              <w:snapToGrid w:val="0"/>
              <w:spacing w:line="300" w:lineRule="exact"/>
              <w:jc w:val="center"/>
              <w:rPr>
                <w:color w:val="000000"/>
                <w:szCs w:val="21"/>
              </w:rPr>
            </w:pPr>
          </w:p>
        </w:tc>
        <w:tc>
          <w:tcPr>
            <w:tcW w:w="709" w:type="dxa"/>
            <w:vMerge w:val="continue"/>
            <w:noWrap w:val="0"/>
            <w:vAlign w:val="top"/>
          </w:tcPr>
          <w:p>
            <w:pPr>
              <w:snapToGrid w:val="0"/>
              <w:spacing w:line="300" w:lineRule="exact"/>
              <w:jc w:val="center"/>
              <w:rPr>
                <w:color w:val="000000"/>
                <w:szCs w:val="21"/>
              </w:rPr>
            </w:pPr>
          </w:p>
        </w:tc>
        <w:tc>
          <w:tcPr>
            <w:tcW w:w="2835" w:type="dxa"/>
            <w:noWrap w:val="0"/>
            <w:vAlign w:val="top"/>
          </w:tcPr>
          <w:p>
            <w:pPr>
              <w:snapToGrid w:val="0"/>
              <w:spacing w:line="300" w:lineRule="exact"/>
              <w:jc w:val="center"/>
              <w:rPr>
                <w:color w:val="000000"/>
                <w:szCs w:val="21"/>
              </w:rPr>
            </w:pPr>
            <w:r>
              <w:rPr>
                <w:color w:val="000000"/>
                <w:szCs w:val="21"/>
              </w:rPr>
              <w:t>佩戴装置</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napToGrid w:val="0"/>
              <w:spacing w:line="300" w:lineRule="exact"/>
              <w:jc w:val="center"/>
              <w:rPr>
                <w:color w:val="000000"/>
                <w:szCs w:val="21"/>
              </w:rPr>
            </w:pPr>
            <w:r>
              <w:rPr>
                <w:color w:val="000000"/>
                <w:szCs w:val="21"/>
              </w:rPr>
              <w:t>2</w:t>
            </w:r>
          </w:p>
        </w:tc>
        <w:tc>
          <w:tcPr>
            <w:tcW w:w="3544" w:type="dxa"/>
            <w:gridSpan w:val="2"/>
            <w:noWrap w:val="0"/>
            <w:vAlign w:val="top"/>
          </w:tcPr>
          <w:p>
            <w:pPr>
              <w:snapToGrid w:val="0"/>
              <w:spacing w:line="300" w:lineRule="exact"/>
              <w:jc w:val="center"/>
              <w:rPr>
                <w:color w:val="000000"/>
                <w:szCs w:val="21"/>
              </w:rPr>
            </w:pPr>
            <w:r>
              <w:rPr>
                <w:color w:val="000000"/>
                <w:szCs w:val="21"/>
              </w:rPr>
              <w:t>视野</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napToGrid w:val="0"/>
              <w:spacing w:line="300" w:lineRule="exact"/>
              <w:jc w:val="center"/>
              <w:rPr>
                <w:color w:val="000000"/>
                <w:szCs w:val="21"/>
              </w:rPr>
            </w:pPr>
            <w:r>
              <w:rPr>
                <w:color w:val="000000"/>
                <w:szCs w:val="21"/>
              </w:rPr>
              <w:t>3</w:t>
            </w:r>
          </w:p>
        </w:tc>
        <w:tc>
          <w:tcPr>
            <w:tcW w:w="3544" w:type="dxa"/>
            <w:gridSpan w:val="2"/>
            <w:noWrap w:val="0"/>
            <w:vAlign w:val="top"/>
          </w:tcPr>
          <w:p>
            <w:pPr>
              <w:snapToGrid w:val="0"/>
              <w:spacing w:line="300" w:lineRule="exact"/>
              <w:jc w:val="center"/>
              <w:rPr>
                <w:color w:val="000000"/>
                <w:szCs w:val="21"/>
              </w:rPr>
            </w:pPr>
            <w:r>
              <w:rPr>
                <w:color w:val="000000"/>
                <w:szCs w:val="21"/>
              </w:rPr>
              <w:t>护目镜</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napToGrid w:val="0"/>
              <w:spacing w:line="300" w:lineRule="exact"/>
              <w:jc w:val="center"/>
              <w:rPr>
                <w:color w:val="000000"/>
                <w:szCs w:val="21"/>
              </w:rPr>
            </w:pPr>
            <w:r>
              <w:rPr>
                <w:color w:val="000000"/>
                <w:szCs w:val="21"/>
              </w:rPr>
              <w:t>4</w:t>
            </w:r>
          </w:p>
        </w:tc>
        <w:tc>
          <w:tcPr>
            <w:tcW w:w="3544" w:type="dxa"/>
            <w:gridSpan w:val="2"/>
            <w:noWrap w:val="0"/>
            <w:vAlign w:val="top"/>
          </w:tcPr>
          <w:p>
            <w:pPr>
              <w:snapToGrid w:val="0"/>
              <w:spacing w:line="300" w:lineRule="exact"/>
              <w:jc w:val="center"/>
              <w:rPr>
                <w:color w:val="000000"/>
                <w:szCs w:val="21"/>
              </w:rPr>
            </w:pPr>
            <w:r>
              <w:rPr>
                <w:color w:val="000000"/>
                <w:szCs w:val="21"/>
              </w:rPr>
              <w:t>表面摩擦力</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napToGrid w:val="0"/>
              <w:spacing w:line="300" w:lineRule="exact"/>
              <w:jc w:val="center"/>
              <w:rPr>
                <w:color w:val="000000"/>
                <w:szCs w:val="21"/>
              </w:rPr>
            </w:pPr>
            <w:r>
              <w:rPr>
                <w:color w:val="000000"/>
                <w:szCs w:val="21"/>
              </w:rPr>
              <w:t>5</w:t>
            </w:r>
          </w:p>
        </w:tc>
        <w:tc>
          <w:tcPr>
            <w:tcW w:w="3544" w:type="dxa"/>
            <w:gridSpan w:val="2"/>
            <w:noWrap w:val="0"/>
            <w:vAlign w:val="top"/>
          </w:tcPr>
          <w:p>
            <w:pPr>
              <w:snapToGrid w:val="0"/>
              <w:spacing w:line="300" w:lineRule="exact"/>
              <w:jc w:val="center"/>
              <w:rPr>
                <w:color w:val="000000"/>
                <w:szCs w:val="21"/>
              </w:rPr>
            </w:pPr>
            <w:r>
              <w:rPr>
                <w:color w:val="000000"/>
                <w:szCs w:val="21"/>
              </w:rPr>
              <w:t>固定装置稳定性</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napToGrid w:val="0"/>
              <w:spacing w:line="300" w:lineRule="exact"/>
              <w:jc w:val="center"/>
              <w:rPr>
                <w:color w:val="000000"/>
                <w:szCs w:val="21"/>
              </w:rPr>
            </w:pPr>
            <w:r>
              <w:rPr>
                <w:color w:val="000000"/>
                <w:szCs w:val="21"/>
              </w:rPr>
              <w:t>6</w:t>
            </w:r>
          </w:p>
        </w:tc>
        <w:tc>
          <w:tcPr>
            <w:tcW w:w="3544" w:type="dxa"/>
            <w:gridSpan w:val="2"/>
            <w:noWrap w:val="0"/>
            <w:vAlign w:val="top"/>
          </w:tcPr>
          <w:p>
            <w:pPr>
              <w:snapToGrid w:val="0"/>
              <w:spacing w:line="300" w:lineRule="exact"/>
              <w:jc w:val="center"/>
              <w:rPr>
                <w:color w:val="000000"/>
                <w:szCs w:val="21"/>
              </w:rPr>
            </w:pPr>
            <w:r>
              <w:rPr>
                <w:color w:val="000000"/>
                <w:szCs w:val="21"/>
              </w:rPr>
              <w:t>佩戴装置强度</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napToGrid w:val="0"/>
              <w:spacing w:line="300" w:lineRule="exact"/>
              <w:jc w:val="center"/>
              <w:rPr>
                <w:color w:val="000000"/>
                <w:szCs w:val="21"/>
              </w:rPr>
            </w:pPr>
            <w:r>
              <w:rPr>
                <w:color w:val="000000"/>
                <w:szCs w:val="21"/>
              </w:rPr>
              <w:t>7</w:t>
            </w:r>
          </w:p>
        </w:tc>
        <w:tc>
          <w:tcPr>
            <w:tcW w:w="3544" w:type="dxa"/>
            <w:gridSpan w:val="2"/>
            <w:noWrap w:val="0"/>
            <w:vAlign w:val="top"/>
          </w:tcPr>
          <w:p>
            <w:pPr>
              <w:snapToGrid w:val="0"/>
              <w:spacing w:line="300" w:lineRule="exact"/>
              <w:jc w:val="center"/>
              <w:rPr>
                <w:color w:val="000000"/>
                <w:szCs w:val="21"/>
              </w:rPr>
            </w:pPr>
            <w:r>
              <w:rPr>
                <w:color w:val="000000"/>
                <w:szCs w:val="21"/>
              </w:rPr>
              <w:t>吸收碰撞能量</w:t>
            </w:r>
            <w:r>
              <w:rPr>
                <w:color w:val="000000"/>
                <w:szCs w:val="21"/>
                <w:vertAlign w:val="superscript"/>
              </w:rPr>
              <w:t>c</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napToGrid w:val="0"/>
              <w:spacing w:line="300" w:lineRule="exact"/>
              <w:jc w:val="center"/>
              <w:rPr>
                <w:color w:val="000000"/>
                <w:szCs w:val="21"/>
              </w:rPr>
            </w:pPr>
            <w:r>
              <w:rPr>
                <w:color w:val="000000"/>
                <w:szCs w:val="21"/>
              </w:rPr>
              <w:t>8</w:t>
            </w:r>
          </w:p>
        </w:tc>
        <w:tc>
          <w:tcPr>
            <w:tcW w:w="3544" w:type="dxa"/>
            <w:gridSpan w:val="2"/>
            <w:noWrap w:val="0"/>
            <w:vAlign w:val="top"/>
          </w:tcPr>
          <w:p>
            <w:pPr>
              <w:snapToGrid w:val="0"/>
              <w:spacing w:line="300" w:lineRule="exact"/>
              <w:jc w:val="center"/>
              <w:rPr>
                <w:color w:val="000000"/>
                <w:szCs w:val="21"/>
              </w:rPr>
            </w:pPr>
            <w:r>
              <w:rPr>
                <w:color w:val="000000"/>
                <w:szCs w:val="21"/>
              </w:rPr>
              <w:t>耐穿透</w:t>
            </w:r>
            <w:r>
              <w:rPr>
                <w:color w:val="000000"/>
                <w:szCs w:val="21"/>
                <w:vertAlign w:val="superscript"/>
              </w:rPr>
              <w:t>c</w:t>
            </w:r>
          </w:p>
        </w:tc>
        <w:tc>
          <w:tcPr>
            <w:tcW w:w="4536" w:type="dxa"/>
            <w:noWrap w:val="0"/>
            <w:vAlign w:val="top"/>
          </w:tcPr>
          <w:p>
            <w:pPr>
              <w:snapToGrid w:val="0"/>
              <w:spacing w:line="300" w:lineRule="exact"/>
              <w:jc w:val="center"/>
              <w:rPr>
                <w:color w:val="000000"/>
                <w:szCs w:val="21"/>
              </w:rPr>
            </w:pPr>
            <w:r>
              <w:rPr>
                <w:color w:val="000000"/>
                <w:szCs w:val="21"/>
              </w:rPr>
              <w:t>GB 811</w:t>
            </w:r>
            <w:r>
              <w:rPr>
                <w:szCs w:val="21"/>
              </w:rPr>
              <w:t>—</w:t>
            </w:r>
            <w:r>
              <w:rPr>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4"/>
            <w:noWrap w:val="0"/>
            <w:vAlign w:val="top"/>
          </w:tcPr>
          <w:p>
            <w:pPr>
              <w:snapToGrid w:val="0"/>
              <w:spacing w:line="300" w:lineRule="exact"/>
              <w:rPr>
                <w:color w:val="000000"/>
                <w:szCs w:val="21"/>
              </w:rPr>
            </w:pPr>
            <w:r>
              <w:rPr>
                <w:rFonts w:hint="eastAsia"/>
                <w:color w:val="000000"/>
                <w:szCs w:val="21"/>
              </w:rPr>
              <w:t>注：</w:t>
            </w:r>
            <w:r>
              <w:rPr>
                <w:color w:val="000000"/>
                <w:szCs w:val="21"/>
              </w:rPr>
              <w:t>a 壳体不测5.1.2.2.b），5.1.2.2.d）反光材料只测总面积和左、右、后三个方向可见；</w:t>
            </w:r>
          </w:p>
          <w:p>
            <w:pPr>
              <w:snapToGrid w:val="0"/>
              <w:spacing w:line="300" w:lineRule="exact"/>
              <w:ind w:firstLine="420" w:firstLineChars="200"/>
              <w:rPr>
                <w:color w:val="000000"/>
                <w:szCs w:val="21"/>
              </w:rPr>
            </w:pPr>
            <w:r>
              <w:rPr>
                <w:color w:val="000000"/>
                <w:szCs w:val="21"/>
              </w:rPr>
              <w:t>b 缓冲层只测5.1.3 b）；</w:t>
            </w:r>
          </w:p>
          <w:p>
            <w:pPr>
              <w:snapToGrid w:val="0"/>
              <w:spacing w:line="300" w:lineRule="exact"/>
              <w:ind w:firstLine="420" w:firstLineChars="200"/>
              <w:rPr>
                <w:rFonts w:hint="eastAsia"/>
                <w:color w:val="000000"/>
                <w:szCs w:val="21"/>
              </w:rPr>
            </w:pPr>
            <w:r>
              <w:rPr>
                <w:color w:val="000000"/>
                <w:szCs w:val="21"/>
              </w:rPr>
              <w:t>c 环境前处理采用低温。</w:t>
            </w:r>
          </w:p>
        </w:tc>
      </w:tr>
    </w:tbl>
    <w:p>
      <w:pPr>
        <w:pStyle w:val="2"/>
      </w:pPr>
    </w:p>
    <w:p>
      <w:pPr>
        <w:adjustRightInd w:val="0"/>
        <w:snapToGrid w:val="0"/>
        <w:spacing w:line="440" w:lineRule="exact"/>
        <w:ind w:firstLine="420" w:firstLineChars="200"/>
        <w:rPr>
          <w:rFonts w:hint="eastAsia"/>
          <w:szCs w:val="21"/>
        </w:rPr>
      </w:pPr>
      <w:r>
        <w:rPr>
          <w:rFonts w:hint="eastAsia"/>
          <w:szCs w:val="21"/>
        </w:rPr>
        <w:t>执行企业标准、团体标准、地方标准的产品，检验项目参照上述内容执行。</w:t>
      </w:r>
    </w:p>
    <w:p>
      <w:pPr>
        <w:snapToGrid w:val="0"/>
        <w:spacing w:line="440" w:lineRule="exact"/>
        <w:ind w:firstLine="420" w:firstLineChars="200"/>
        <w:rPr>
          <w:szCs w:val="21"/>
        </w:rPr>
      </w:pPr>
      <w:r>
        <w:rPr>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szCs w:val="21"/>
        </w:rPr>
      </w:pP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3.1依据标准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szCs w:val="21"/>
        </w:rPr>
      </w:pPr>
      <w:r>
        <w:rPr>
          <w:color w:val="000000"/>
          <w:szCs w:val="21"/>
        </w:rPr>
        <w:t>GB 811</w:t>
      </w:r>
      <w:r>
        <w:rPr>
          <w:szCs w:val="21"/>
        </w:rPr>
        <w:t>—</w:t>
      </w:r>
      <w:r>
        <w:rPr>
          <w:color w:val="000000"/>
          <w:szCs w:val="21"/>
        </w:rPr>
        <w:t>2022</w:t>
      </w:r>
      <w:r>
        <w:rPr>
          <w:rFonts w:hint="eastAsia"/>
          <w:color w:val="000000"/>
          <w:szCs w:val="21"/>
          <w:lang w:eastAsia="zh-CN"/>
        </w:rPr>
        <w:t>《</w:t>
      </w:r>
      <w:r>
        <w:rPr>
          <w:color w:val="000000"/>
          <w:szCs w:val="21"/>
        </w:rPr>
        <w:t>摩托车、电动自行车乘员头盔</w:t>
      </w:r>
      <w:r>
        <w:rPr>
          <w:rFonts w:hint="eastAsia"/>
          <w:color w:val="000000"/>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现行有效的企业标准、团体标准、地方标准及产品明示质量要求</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3.2判定原则</w:t>
      </w:r>
    </w:p>
    <w:p>
      <w:pPr>
        <w:snapToGrid w:val="0"/>
        <w:spacing w:line="440" w:lineRule="exact"/>
        <w:ind w:firstLine="420" w:firstLineChars="200"/>
        <w:rPr>
          <w:szCs w:val="21"/>
        </w:rPr>
      </w:pPr>
      <w:r>
        <w:rPr>
          <w:szCs w:val="21"/>
        </w:rPr>
        <w:t>经检验，检验项目全部合格，判定为被抽查产品</w:t>
      </w:r>
      <w:r>
        <w:rPr>
          <w:rFonts w:hint="eastAsia"/>
          <w:szCs w:val="21"/>
        </w:rPr>
        <w:t>所检项目未发现不</w:t>
      </w:r>
      <w:r>
        <w:rPr>
          <w:szCs w:val="21"/>
        </w:rPr>
        <w:t>合格；检验项目中任一项或一项以上不合格，判定为被抽查产品不合格。</w:t>
      </w:r>
    </w:p>
    <w:p>
      <w:pPr>
        <w:snapToGrid w:val="0"/>
        <w:spacing w:line="440" w:lineRule="exact"/>
        <w:ind w:firstLine="417" w:firstLineChars="199"/>
        <w:rPr>
          <w:szCs w:val="21"/>
        </w:rPr>
      </w:pPr>
      <w:r>
        <w:rPr>
          <w:szCs w:val="21"/>
        </w:rPr>
        <w:t>若被检产品明示的质量要求高于本细则中检验项目依据的标准要求时，应按被检产品明示的质量要求判定。</w:t>
      </w:r>
    </w:p>
    <w:p>
      <w:pPr>
        <w:snapToGrid w:val="0"/>
        <w:spacing w:line="440" w:lineRule="exact"/>
        <w:ind w:firstLine="417" w:firstLineChars="199"/>
        <w:rPr>
          <w:szCs w:val="21"/>
        </w:rPr>
      </w:pPr>
      <w:r>
        <w:rPr>
          <w:szCs w:val="21"/>
        </w:rPr>
        <w:t>若被检产品明示的质量要求低于本细则中检验项目依据的强制性标准要求时，应按照强制性标准要求判定。</w:t>
      </w:r>
    </w:p>
    <w:p>
      <w:pPr>
        <w:snapToGrid w:val="0"/>
        <w:spacing w:line="440" w:lineRule="exact"/>
        <w:ind w:firstLine="417" w:firstLineChars="199"/>
        <w:rPr>
          <w:szCs w:val="21"/>
        </w:rPr>
      </w:pPr>
      <w:r>
        <w:rPr>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szCs w:val="21"/>
        </w:rPr>
      </w:pPr>
      <w:r>
        <w:rPr>
          <w:szCs w:val="21"/>
        </w:rPr>
        <w:t>若被检产品明示的质量要求缺少本细则中检验项目依据的强制性标准要求时，应按照强制性标准要求判定。</w:t>
      </w:r>
    </w:p>
    <w:p>
      <w:pPr>
        <w:snapToGrid w:val="0"/>
        <w:spacing w:line="440" w:lineRule="exact"/>
        <w:ind w:firstLine="417" w:firstLineChars="199"/>
        <w:rPr>
          <w:rFonts w:hint="eastAsia"/>
          <w:szCs w:val="21"/>
        </w:rPr>
      </w:pPr>
      <w:r>
        <w:rPr>
          <w:szCs w:val="21"/>
        </w:rPr>
        <w:t>若被检产品明示的质量要求缺少本细则中检验项目依据的推荐性标准要求时，该项目不参与判定</w:t>
      </w:r>
      <w:r>
        <w:rPr>
          <w:color w:val="000000"/>
          <w:szCs w:val="21"/>
        </w:rPr>
        <w:t>，但应在检验报告备注中进行说明。</w:t>
      </w:r>
    </w:p>
    <w:p>
      <w:pPr>
        <w:spacing w:line="360" w:lineRule="auto"/>
        <w:rPr>
          <w:szCs w:val="21"/>
        </w:rPr>
      </w:pPr>
      <w:bookmarkStart w:id="0" w:name="_GoBack"/>
      <w:bookmarkEnd w:id="0"/>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172A27"/>
    <w:rsid w:val="00051A44"/>
    <w:rsid w:val="00081CBD"/>
    <w:rsid w:val="000976DE"/>
    <w:rsid w:val="000B6AB8"/>
    <w:rsid w:val="001141F4"/>
    <w:rsid w:val="00144BFC"/>
    <w:rsid w:val="00161CC9"/>
    <w:rsid w:val="001809DD"/>
    <w:rsid w:val="001A150E"/>
    <w:rsid w:val="001E297A"/>
    <w:rsid w:val="00253624"/>
    <w:rsid w:val="00292420"/>
    <w:rsid w:val="002B38DA"/>
    <w:rsid w:val="002D7F8A"/>
    <w:rsid w:val="002E0D1D"/>
    <w:rsid w:val="003102FB"/>
    <w:rsid w:val="003203A3"/>
    <w:rsid w:val="003C388C"/>
    <w:rsid w:val="003E4B35"/>
    <w:rsid w:val="003E61BF"/>
    <w:rsid w:val="00445E86"/>
    <w:rsid w:val="00474E04"/>
    <w:rsid w:val="004C0D07"/>
    <w:rsid w:val="004D0C5A"/>
    <w:rsid w:val="004D370C"/>
    <w:rsid w:val="004E1396"/>
    <w:rsid w:val="005255D7"/>
    <w:rsid w:val="00563EBC"/>
    <w:rsid w:val="00564F4C"/>
    <w:rsid w:val="0058351D"/>
    <w:rsid w:val="005B7ED8"/>
    <w:rsid w:val="00610555"/>
    <w:rsid w:val="006369D6"/>
    <w:rsid w:val="006E0056"/>
    <w:rsid w:val="006F0971"/>
    <w:rsid w:val="0072334C"/>
    <w:rsid w:val="0075488B"/>
    <w:rsid w:val="00754B02"/>
    <w:rsid w:val="007863DC"/>
    <w:rsid w:val="007C51AC"/>
    <w:rsid w:val="008141C1"/>
    <w:rsid w:val="00826E57"/>
    <w:rsid w:val="00845A82"/>
    <w:rsid w:val="00895BEA"/>
    <w:rsid w:val="008A3497"/>
    <w:rsid w:val="008E7DAB"/>
    <w:rsid w:val="008F789C"/>
    <w:rsid w:val="00917A54"/>
    <w:rsid w:val="009830E2"/>
    <w:rsid w:val="009C5BE7"/>
    <w:rsid w:val="00A00931"/>
    <w:rsid w:val="00A12D5C"/>
    <w:rsid w:val="00A21847"/>
    <w:rsid w:val="00A43553"/>
    <w:rsid w:val="00A609A0"/>
    <w:rsid w:val="00C26074"/>
    <w:rsid w:val="00C83B0A"/>
    <w:rsid w:val="00CA7DB8"/>
    <w:rsid w:val="00CC33F8"/>
    <w:rsid w:val="00CD1580"/>
    <w:rsid w:val="00CE1E0C"/>
    <w:rsid w:val="00CE277E"/>
    <w:rsid w:val="00D000E0"/>
    <w:rsid w:val="00D56867"/>
    <w:rsid w:val="00D71EAE"/>
    <w:rsid w:val="00DC37F5"/>
    <w:rsid w:val="00E02A7F"/>
    <w:rsid w:val="00E07880"/>
    <w:rsid w:val="00E12124"/>
    <w:rsid w:val="00E35E78"/>
    <w:rsid w:val="00E53EF2"/>
    <w:rsid w:val="00E82621"/>
    <w:rsid w:val="00EA5ED4"/>
    <w:rsid w:val="00F77C9A"/>
    <w:rsid w:val="00FB576C"/>
    <w:rsid w:val="00FC2905"/>
    <w:rsid w:val="00FC5382"/>
    <w:rsid w:val="00FD2AA6"/>
    <w:rsid w:val="00FE39D9"/>
    <w:rsid w:val="00FE7E8A"/>
    <w:rsid w:val="02AE01CC"/>
    <w:rsid w:val="04DB4CDB"/>
    <w:rsid w:val="069176BF"/>
    <w:rsid w:val="09471A07"/>
    <w:rsid w:val="0B9B19E7"/>
    <w:rsid w:val="130651C0"/>
    <w:rsid w:val="13231F51"/>
    <w:rsid w:val="14203E74"/>
    <w:rsid w:val="14904572"/>
    <w:rsid w:val="15001D0E"/>
    <w:rsid w:val="17132D51"/>
    <w:rsid w:val="1B3F68A5"/>
    <w:rsid w:val="1BBB65F2"/>
    <w:rsid w:val="1DB422BC"/>
    <w:rsid w:val="1DC1286A"/>
    <w:rsid w:val="1ECE699F"/>
    <w:rsid w:val="1F274302"/>
    <w:rsid w:val="22783080"/>
    <w:rsid w:val="231B27BC"/>
    <w:rsid w:val="25B038CF"/>
    <w:rsid w:val="278827D9"/>
    <w:rsid w:val="29727E07"/>
    <w:rsid w:val="2A8F0449"/>
    <w:rsid w:val="2C0927BF"/>
    <w:rsid w:val="2E0F0EE2"/>
    <w:rsid w:val="2E8F44A5"/>
    <w:rsid w:val="31A52F0C"/>
    <w:rsid w:val="38B367F4"/>
    <w:rsid w:val="3D1101E5"/>
    <w:rsid w:val="475F6EEB"/>
    <w:rsid w:val="48EF447A"/>
    <w:rsid w:val="4A0755F3"/>
    <w:rsid w:val="4A486567"/>
    <w:rsid w:val="4A761E4D"/>
    <w:rsid w:val="4B74159A"/>
    <w:rsid w:val="4D8C2EEA"/>
    <w:rsid w:val="52445859"/>
    <w:rsid w:val="52ED60A5"/>
    <w:rsid w:val="531B2FAA"/>
    <w:rsid w:val="541E65F9"/>
    <w:rsid w:val="55FC102D"/>
    <w:rsid w:val="570B70C9"/>
    <w:rsid w:val="5D5D3EA9"/>
    <w:rsid w:val="5D960058"/>
    <w:rsid w:val="5F4529CA"/>
    <w:rsid w:val="5F9750F4"/>
    <w:rsid w:val="6006326F"/>
    <w:rsid w:val="603161B4"/>
    <w:rsid w:val="606E0AA6"/>
    <w:rsid w:val="621F11CE"/>
    <w:rsid w:val="62D77BD5"/>
    <w:rsid w:val="63F25A4A"/>
    <w:rsid w:val="65C251A5"/>
    <w:rsid w:val="65DE19F7"/>
    <w:rsid w:val="67C617B5"/>
    <w:rsid w:val="6AC449B9"/>
    <w:rsid w:val="6B3D5917"/>
    <w:rsid w:val="6DB55592"/>
    <w:rsid w:val="6F5A5D48"/>
    <w:rsid w:val="6FD9375B"/>
    <w:rsid w:val="71025CA2"/>
    <w:rsid w:val="71F9338B"/>
    <w:rsid w:val="73655F4E"/>
    <w:rsid w:val="768A78C8"/>
    <w:rsid w:val="76D474B3"/>
    <w:rsid w:val="78263767"/>
    <w:rsid w:val="79077078"/>
    <w:rsid w:val="79980404"/>
    <w:rsid w:val="79DB17DE"/>
    <w:rsid w:val="79FD7C3C"/>
    <w:rsid w:val="7B42766E"/>
    <w:rsid w:val="7BA2283A"/>
    <w:rsid w:val="7BF104DD"/>
    <w:rsid w:val="9B7E30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center"/>
      <w:outlineLvl w:val="0"/>
    </w:pPr>
    <w:rPr>
      <w:rFonts w:ascii="方正小标宋简体" w:eastAsia="方正小标宋简体"/>
      <w:kern w:val="44"/>
      <w:sz w:val="38"/>
    </w:rPr>
  </w:style>
  <w:style w:type="character" w:default="1" w:styleId="10">
    <w:name w:val="Default Paragraph Font"/>
    <w:semiHidden/>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 w:type="paragraph" w:styleId="4">
    <w:name w:val="annotation text"/>
    <w:basedOn w:val="1"/>
    <w:unhideWhenUsed/>
    <w:qFormat/>
    <w:uiPriority w:val="99"/>
    <w:pPr>
      <w:jc w:val="left"/>
    </w:pPr>
  </w:style>
  <w:style w:type="paragraph" w:styleId="5">
    <w:name w:val="Body Text Indent"/>
    <w:basedOn w:val="1"/>
    <w:qFormat/>
    <w:uiPriority w:val="0"/>
    <w:pPr>
      <w:spacing w:line="360" w:lineRule="auto"/>
      <w:ind w:firstLine="480" w:firstLineChars="200"/>
    </w:pPr>
    <w:rPr>
      <w:rFonts w:ascii="宋体" w:hAnsi="宋体"/>
      <w:sz w:val="24"/>
      <w:szCs w:val="20"/>
    </w:rPr>
  </w:style>
  <w:style w:type="paragraph" w:styleId="6">
    <w:name w:val="Balloon Text"/>
    <w:basedOn w:val="1"/>
    <w:link w:val="14"/>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paragraph" w:customStyle="1" w:styleId="12">
    <w:name w:val="_Style 10"/>
    <w:unhideWhenUsed/>
    <w:qFormat/>
    <w:uiPriority w:val="99"/>
    <w:rPr>
      <w:rFonts w:ascii="Times New Roman" w:hAnsi="Times New Roman" w:eastAsia="宋体" w:cs="Times New Roman"/>
      <w:kern w:val="2"/>
      <w:sz w:val="21"/>
      <w:szCs w:val="24"/>
      <w:lang w:val="en-US" w:eastAsia="zh-CN" w:bidi="ar-SA"/>
    </w:rPr>
  </w:style>
  <w:style w:type="paragraph" w:customStyle="1" w:styleId="13">
    <w:name w:val="列出段落1"/>
    <w:basedOn w:val="1"/>
    <w:qFormat/>
    <w:uiPriority w:val="34"/>
    <w:pPr>
      <w:ind w:firstLine="420" w:firstLineChars="200"/>
    </w:pPr>
    <w:rPr>
      <w:rFonts w:ascii="Calibri" w:hAnsi="Calibri"/>
      <w:szCs w:val="22"/>
    </w:rPr>
  </w:style>
  <w:style w:type="character" w:customStyle="1" w:styleId="14">
    <w:name w:val="批注框文本 字符"/>
    <w:link w:val="6"/>
    <w:semiHidden/>
    <w:qFormat/>
    <w:uiPriority w:val="99"/>
    <w:rPr>
      <w:kern w:val="2"/>
      <w:sz w:val="18"/>
      <w:szCs w:val="18"/>
    </w:rPr>
  </w:style>
  <w:style w:type="character" w:customStyle="1" w:styleId="15">
    <w:name w:val="页眉 字符"/>
    <w:link w:val="8"/>
    <w:semiHidden/>
    <w:qFormat/>
    <w:uiPriority w:val="99"/>
    <w:rPr>
      <w:kern w:val="2"/>
      <w:sz w:val="18"/>
      <w:szCs w:val="18"/>
    </w:rPr>
  </w:style>
  <w:style w:type="character" w:customStyle="1" w:styleId="16">
    <w:name w:val="页脚 字符"/>
    <w:link w:val="7"/>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298</Words>
  <Characters>1703</Characters>
  <Lines>14</Lines>
  <Paragraphs>3</Paragraphs>
  <TotalTime>0</TotalTime>
  <ScaleCrop>false</ScaleCrop>
  <LinksUpToDate>false</LinksUpToDate>
  <CharactersWithSpaces>1998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2004-08-06T19:45:00Z</dcterms:created>
  <dc:creator>Legend User</dc:creator>
  <cp:lastModifiedBy>Administrator</cp:lastModifiedBy>
  <cp:lastPrinted>2019-12-05T23:53:00Z</cp:lastPrinted>
  <dcterms:modified xsi:type="dcterms:W3CDTF">2025-05-19T07:17:50Z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245E79DB30664379955473C732C143A7_13</vt:lpwstr>
  </property>
</Properties>
</file>