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color w:val="000000"/>
          <w:sz w:val="32"/>
          <w:szCs w:val="32"/>
        </w:rPr>
      </w:pPr>
      <w:r>
        <w:rPr>
          <w:rFonts w:hint="eastAsia" w:eastAsia="方正小标宋简体"/>
          <w:color w:val="000000"/>
          <w:sz w:val="32"/>
          <w:szCs w:val="32"/>
        </w:rPr>
        <w:t>广州市</w:t>
      </w:r>
      <w:r>
        <w:rPr>
          <w:rFonts w:hint="eastAsia" w:eastAsia="方正小标宋简体"/>
          <w:color w:val="000000"/>
          <w:sz w:val="32"/>
          <w:szCs w:val="32"/>
          <w:lang w:eastAsia="zh-CN"/>
        </w:rPr>
        <w:t>海珠区</w:t>
      </w:r>
      <w:r>
        <w:rPr>
          <w:rFonts w:hint="eastAsia" w:eastAsia="方正小标宋简体"/>
          <w:color w:val="000000"/>
          <w:sz w:val="32"/>
          <w:szCs w:val="32"/>
        </w:rPr>
        <w:t>市场监督管理局</w:t>
      </w:r>
      <w:r>
        <w:rPr>
          <w:rFonts w:hint="eastAsia" w:eastAsia="方正小标宋简体"/>
          <w:color w:val="000000"/>
          <w:sz w:val="32"/>
          <w:szCs w:val="32"/>
          <w:lang w:val="en-US" w:eastAsia="zh-CN"/>
        </w:rPr>
        <w:t>取暖器</w:t>
      </w:r>
      <w:r>
        <w:rPr>
          <w:rFonts w:hint="eastAsia" w:eastAsia="方正小标宋简体"/>
          <w:color w:val="000000"/>
          <w:sz w:val="32"/>
          <w:szCs w:val="32"/>
        </w:rPr>
        <w:t>产品</w:t>
      </w:r>
    </w:p>
    <w:p>
      <w:pPr>
        <w:jc w:val="center"/>
        <w:rPr>
          <w:rFonts w:hint="eastAsia" w:eastAsia="方正小标宋简体"/>
          <w:sz w:val="32"/>
          <w:szCs w:val="32"/>
        </w:rPr>
      </w:pPr>
      <w:r>
        <w:rPr>
          <w:rFonts w:eastAsia="方正小标宋简体"/>
          <w:sz w:val="32"/>
          <w:szCs w:val="32"/>
        </w:rPr>
        <w:t>质量</w:t>
      </w:r>
      <w:r>
        <w:rPr>
          <w:rFonts w:hint="eastAsia" w:eastAsia="方正小标宋简体"/>
          <w:sz w:val="32"/>
          <w:szCs w:val="32"/>
        </w:rPr>
        <w:t>监督</w:t>
      </w:r>
      <w:r>
        <w:rPr>
          <w:rFonts w:eastAsia="方正小标宋简体"/>
          <w:sz w:val="32"/>
          <w:szCs w:val="32"/>
        </w:rPr>
        <w:t>抽查实施</w:t>
      </w:r>
      <w:r>
        <w:rPr>
          <w:rFonts w:hint="eastAsia" w:eastAsia="方正小标宋简体"/>
          <w:sz w:val="32"/>
          <w:szCs w:val="32"/>
        </w:rPr>
        <w:t>细则</w:t>
      </w:r>
    </w:p>
    <w:p>
      <w:pPr>
        <w:jc w:val="center"/>
        <w:rPr>
          <w:rFonts w:hint="eastAsia" w:eastAsia="方正小标宋简体"/>
          <w:color w:val="000000"/>
          <w:sz w:val="32"/>
          <w:szCs w:val="32"/>
        </w:rPr>
      </w:pPr>
      <w:r>
        <w:rPr>
          <w:rFonts w:hint="eastAsia" w:eastAsia="方正小标宋简体"/>
          <w:color w:val="000000"/>
          <w:sz w:val="32"/>
          <w:szCs w:val="32"/>
        </w:rPr>
        <w:t>（202</w:t>
      </w:r>
      <w:r>
        <w:rPr>
          <w:rFonts w:hint="eastAsia" w:eastAsia="方正小标宋简体"/>
          <w:color w:val="000000"/>
          <w:sz w:val="32"/>
          <w:szCs w:val="32"/>
          <w:lang w:val="en-US" w:eastAsia="zh-CN"/>
        </w:rPr>
        <w:t>5</w:t>
      </w:r>
      <w:r>
        <w:rPr>
          <w:rFonts w:hint="eastAsia" w:eastAsia="方正小标宋简体"/>
          <w:color w:val="000000"/>
          <w:sz w:val="32"/>
          <w:szCs w:val="32"/>
        </w:rPr>
        <w:t>年版）</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1、抽样方法</w:t>
      </w:r>
    </w:p>
    <w:p>
      <w:pPr>
        <w:snapToGrid w:val="0"/>
        <w:spacing w:line="360" w:lineRule="auto"/>
        <w:ind w:firstLine="420" w:firstLineChars="200"/>
        <w:rPr>
          <w:rFonts w:hAnsi="宋体"/>
          <w:szCs w:val="21"/>
        </w:rPr>
      </w:pPr>
      <w:r>
        <w:rPr>
          <w:rFonts w:hint="eastAsia" w:hAnsi="宋体"/>
          <w:szCs w:val="21"/>
        </w:rPr>
        <w:t>在生产企业的成品库内（生产领域）、线下销售者处（流通领域）或电商领域随机抽取有产品质量检验合格证明或者以其他形式表明合格的、近期生产的待销产品。</w:t>
      </w:r>
    </w:p>
    <w:p>
      <w:pPr>
        <w:adjustRightInd w:val="0"/>
        <w:snapToGrid w:val="0"/>
        <w:spacing w:line="360" w:lineRule="auto"/>
        <w:ind w:firstLine="420" w:firstLineChars="200"/>
        <w:rPr>
          <w:rFonts w:hint="eastAsia" w:hAnsi="宋体"/>
          <w:szCs w:val="21"/>
        </w:rPr>
      </w:pPr>
      <w:r>
        <w:rPr>
          <w:rFonts w:hint="eastAsia" w:hAnsi="宋体"/>
          <w:szCs w:val="21"/>
        </w:rPr>
        <w:t>抽查样品基数应满足抽样数量要求。</w:t>
      </w:r>
    </w:p>
    <w:p>
      <w:pPr>
        <w:adjustRightInd w:val="0"/>
        <w:snapToGrid w:val="0"/>
        <w:spacing w:line="360" w:lineRule="auto"/>
        <w:ind w:firstLine="420" w:firstLineChars="200"/>
        <w:rPr>
          <w:rFonts w:hint="eastAsia" w:hAnsi="宋体"/>
          <w:szCs w:val="21"/>
        </w:rPr>
      </w:pPr>
      <w:r>
        <w:rPr>
          <w:rFonts w:hint="eastAsia" w:hAnsi="宋体"/>
          <w:szCs w:val="21"/>
        </w:rPr>
        <w:t>每一抽检批次产品抽取样品2台，其中1台作为检验样品，1台作为备用样品。</w:t>
      </w:r>
    </w:p>
    <w:p>
      <w:pPr>
        <w:snapToGrid w:val="0"/>
        <w:spacing w:line="360" w:lineRule="auto"/>
        <w:ind w:firstLine="420" w:firstLineChars="200"/>
        <w:rPr>
          <w:rFonts w:hAnsi="宋体"/>
          <w:szCs w:val="21"/>
        </w:rPr>
      </w:pPr>
      <w:r>
        <w:rPr>
          <w:rFonts w:hAnsi="宋体"/>
          <w:szCs w:val="21"/>
        </w:rPr>
        <w:t>随机数一般可使用随机数表、随机数骰子或扑克牌等方法产生。</w:t>
      </w:r>
    </w:p>
    <w:p>
      <w:pPr>
        <w:pStyle w:val="3"/>
      </w:pP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2、检验依据</w:t>
      </w:r>
    </w:p>
    <w:p>
      <w:pPr>
        <w:spacing w:line="360" w:lineRule="auto"/>
        <w:ind w:firstLine="420" w:firstLineChars="200"/>
        <w:rPr>
          <w:szCs w:val="21"/>
        </w:rPr>
      </w:pPr>
      <w:r>
        <w:rPr>
          <w:rFonts w:hint="eastAsia"/>
          <w:color w:val="000000"/>
          <w:szCs w:val="21"/>
        </w:rPr>
        <w:t>本次抽查检验项目和检验方法依据见表</w:t>
      </w:r>
      <w:r>
        <w:rPr>
          <w:rFonts w:hint="eastAsia"/>
          <w:color w:val="000000"/>
          <w:szCs w:val="21"/>
          <w:lang w:val="en-US" w:eastAsia="zh-CN"/>
        </w:rPr>
        <w:t>1</w:t>
      </w:r>
      <w:r>
        <w:rPr>
          <w:rFonts w:hAnsi="宋体"/>
          <w:szCs w:val="21"/>
        </w:rPr>
        <w:t>。</w:t>
      </w:r>
    </w:p>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表</w:t>
      </w:r>
      <w:r>
        <w:rPr>
          <w:rFonts w:hint="eastAsia" w:cs="Times New Roman"/>
          <w:color w:val="000000"/>
          <w:szCs w:val="21"/>
          <w:lang w:val="en-US" w:eastAsia="zh-CN"/>
        </w:rPr>
        <w:t>1</w:t>
      </w:r>
      <w:r>
        <w:rPr>
          <w:rFonts w:hint="eastAsia" w:ascii="Times New Roman" w:hAnsi="Times New Roman" w:cs="Times New Roman"/>
          <w:color w:val="000000"/>
          <w:szCs w:val="21"/>
        </w:rPr>
        <w:t xml:space="preserve"> </w:t>
      </w:r>
      <w:r>
        <w:rPr>
          <w:rFonts w:ascii="Times New Roman" w:hAnsi="Times New Roman" w:cs="Times New Roman"/>
          <w:color w:val="000000"/>
          <w:szCs w:val="21"/>
        </w:rPr>
        <w:t>检验项目</w:t>
      </w:r>
    </w:p>
    <w:tbl>
      <w:tblPr>
        <w:tblStyle w:val="6"/>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6004"/>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00" w:type="dxa"/>
            <w:vMerge w:val="restart"/>
            <w:vAlign w:val="center"/>
          </w:tcPr>
          <w:p>
            <w:pPr>
              <w:adjustRightInd/>
              <w:snapToGrid/>
              <w:ind w:firstLine="0" w:firstLineChars="0"/>
              <w:jc w:val="center"/>
            </w:pPr>
            <w:r>
              <w:rPr>
                <w:rFonts w:hint="eastAsia"/>
              </w:rPr>
              <w:t>序号</w:t>
            </w:r>
          </w:p>
        </w:tc>
        <w:tc>
          <w:tcPr>
            <w:tcW w:w="6004" w:type="dxa"/>
            <w:vMerge w:val="restart"/>
            <w:vAlign w:val="center"/>
          </w:tcPr>
          <w:p>
            <w:pPr>
              <w:adjustRightInd/>
              <w:snapToGrid/>
              <w:ind w:firstLine="0" w:firstLineChars="0"/>
              <w:jc w:val="center"/>
            </w:pPr>
            <w:r>
              <w:rPr>
                <w:rFonts w:hint="eastAsia"/>
              </w:rPr>
              <w:t>检验项目</w:t>
            </w:r>
          </w:p>
        </w:tc>
        <w:tc>
          <w:tcPr>
            <w:tcW w:w="1947" w:type="dxa"/>
            <w:vMerge w:val="restart"/>
            <w:vAlign w:val="center"/>
          </w:tcPr>
          <w:p>
            <w:pPr>
              <w:adjustRightInd/>
              <w:snapToGrid/>
              <w:ind w:firstLine="0" w:firstLineChars="0"/>
              <w:jc w:val="center"/>
            </w:pPr>
            <w:r>
              <w:rPr>
                <w:rFonts w:hint="eastAsi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00" w:type="dxa"/>
            <w:vMerge w:val="continue"/>
            <w:vAlign w:val="center"/>
          </w:tcPr>
          <w:p>
            <w:pPr>
              <w:adjustRightInd/>
              <w:snapToGrid/>
              <w:ind w:firstLine="0" w:firstLineChars="0"/>
              <w:jc w:val="center"/>
            </w:pPr>
          </w:p>
        </w:tc>
        <w:tc>
          <w:tcPr>
            <w:tcW w:w="6004" w:type="dxa"/>
            <w:vMerge w:val="continue"/>
            <w:vAlign w:val="center"/>
          </w:tcPr>
          <w:p>
            <w:pPr>
              <w:adjustRightInd/>
              <w:snapToGrid/>
              <w:ind w:firstLine="0" w:firstLineChars="0"/>
              <w:jc w:val="center"/>
            </w:pPr>
          </w:p>
        </w:tc>
        <w:tc>
          <w:tcPr>
            <w:tcW w:w="1947" w:type="dxa"/>
            <w:vMerge w:val="continue"/>
            <w:vAlign w:val="center"/>
          </w:tcPr>
          <w:p>
            <w:pPr>
              <w:adjustRightInd/>
              <w:snapToGrid/>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700"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1</w:t>
            </w:r>
          </w:p>
        </w:tc>
        <w:tc>
          <w:tcPr>
            <w:tcW w:w="6004"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对触及带电部件的防护</w:t>
            </w:r>
          </w:p>
        </w:tc>
        <w:tc>
          <w:tcPr>
            <w:tcW w:w="1947" w:type="dxa"/>
            <w:vMerge w:val="restart"/>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GB 4706.1-2005</w:t>
            </w:r>
          </w:p>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GB 4706.23-2007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700"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2</w:t>
            </w:r>
          </w:p>
        </w:tc>
        <w:tc>
          <w:tcPr>
            <w:tcW w:w="6004"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输入功率和电流</w:t>
            </w:r>
          </w:p>
        </w:tc>
        <w:tc>
          <w:tcPr>
            <w:tcW w:w="1947" w:type="dxa"/>
            <w:vMerge w:val="continue"/>
            <w:vAlign w:val="center"/>
          </w:tcPr>
          <w:p>
            <w:pPr>
              <w:adjustRightInd/>
              <w:snapToGrid/>
              <w:ind w:firstLine="0" w:firstLineChars="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00"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3</w:t>
            </w:r>
          </w:p>
        </w:tc>
        <w:tc>
          <w:tcPr>
            <w:tcW w:w="6004"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发热</w:t>
            </w:r>
          </w:p>
        </w:tc>
        <w:tc>
          <w:tcPr>
            <w:tcW w:w="1947" w:type="dxa"/>
            <w:vMerge w:val="continue"/>
            <w:vAlign w:val="center"/>
          </w:tcPr>
          <w:p>
            <w:pPr>
              <w:adjustRightInd/>
              <w:snapToGrid/>
              <w:ind w:firstLine="0" w:firstLineChars="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00"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4</w:t>
            </w:r>
          </w:p>
        </w:tc>
        <w:tc>
          <w:tcPr>
            <w:tcW w:w="6004"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工作温度下的泄漏电流和电气强度</w:t>
            </w:r>
          </w:p>
        </w:tc>
        <w:tc>
          <w:tcPr>
            <w:tcW w:w="1947" w:type="dxa"/>
            <w:vMerge w:val="continue"/>
            <w:vAlign w:val="center"/>
          </w:tcPr>
          <w:p>
            <w:pPr>
              <w:adjustRightInd/>
              <w:snapToGrid/>
              <w:ind w:firstLine="0" w:firstLineChars="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00"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5</w:t>
            </w:r>
          </w:p>
        </w:tc>
        <w:tc>
          <w:tcPr>
            <w:tcW w:w="6004"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耐潮湿</w:t>
            </w:r>
          </w:p>
        </w:tc>
        <w:tc>
          <w:tcPr>
            <w:tcW w:w="1947" w:type="dxa"/>
            <w:vMerge w:val="continue"/>
            <w:vAlign w:val="center"/>
          </w:tcPr>
          <w:p>
            <w:pPr>
              <w:adjustRightInd/>
              <w:snapToGrid/>
              <w:ind w:firstLine="0" w:firstLineChars="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00"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6</w:t>
            </w:r>
          </w:p>
        </w:tc>
        <w:tc>
          <w:tcPr>
            <w:tcW w:w="6004"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泄漏电流和电气强度</w:t>
            </w:r>
          </w:p>
        </w:tc>
        <w:tc>
          <w:tcPr>
            <w:tcW w:w="1947" w:type="dxa"/>
            <w:vMerge w:val="continue"/>
            <w:vAlign w:val="center"/>
          </w:tcPr>
          <w:p>
            <w:pPr>
              <w:adjustRightInd/>
              <w:snapToGrid/>
              <w:ind w:firstLine="0" w:firstLineChars="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700"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7</w:t>
            </w:r>
          </w:p>
        </w:tc>
        <w:tc>
          <w:tcPr>
            <w:tcW w:w="6004"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非正常工作（不包括第19. 11.4条的试验）</w:t>
            </w:r>
          </w:p>
        </w:tc>
        <w:tc>
          <w:tcPr>
            <w:tcW w:w="1947" w:type="dxa"/>
            <w:vMerge w:val="continue"/>
            <w:vAlign w:val="center"/>
          </w:tcPr>
          <w:p>
            <w:pPr>
              <w:adjustRightInd/>
              <w:snapToGrid/>
              <w:ind w:firstLine="0" w:firstLineChars="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00"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8</w:t>
            </w:r>
          </w:p>
        </w:tc>
        <w:tc>
          <w:tcPr>
            <w:tcW w:w="6004"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稳定性和机械危险</w:t>
            </w:r>
          </w:p>
        </w:tc>
        <w:tc>
          <w:tcPr>
            <w:tcW w:w="1947" w:type="dxa"/>
            <w:vMerge w:val="continue"/>
            <w:vAlign w:val="center"/>
          </w:tcPr>
          <w:p>
            <w:pPr>
              <w:adjustRightInd/>
              <w:snapToGrid/>
              <w:ind w:firstLine="0" w:firstLineChars="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00"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9</w:t>
            </w:r>
          </w:p>
        </w:tc>
        <w:tc>
          <w:tcPr>
            <w:tcW w:w="6004"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机械强度</w:t>
            </w:r>
          </w:p>
        </w:tc>
        <w:tc>
          <w:tcPr>
            <w:tcW w:w="1947" w:type="dxa"/>
            <w:vMerge w:val="continue"/>
            <w:vAlign w:val="center"/>
          </w:tcPr>
          <w:p>
            <w:pPr>
              <w:adjustRightInd/>
              <w:snapToGrid/>
              <w:ind w:firstLine="0" w:firstLineChars="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00"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10</w:t>
            </w:r>
          </w:p>
        </w:tc>
        <w:tc>
          <w:tcPr>
            <w:tcW w:w="6004"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结构（不包括第22.46条的试验）</w:t>
            </w:r>
          </w:p>
        </w:tc>
        <w:tc>
          <w:tcPr>
            <w:tcW w:w="1947" w:type="dxa"/>
            <w:vMerge w:val="continue"/>
            <w:vAlign w:val="center"/>
          </w:tcPr>
          <w:p>
            <w:pPr>
              <w:adjustRightInd/>
              <w:snapToGrid/>
              <w:ind w:firstLine="0" w:firstLineChars="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00"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11</w:t>
            </w:r>
          </w:p>
        </w:tc>
        <w:tc>
          <w:tcPr>
            <w:tcW w:w="6004"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内部布线（不包括第23.3条的试验）</w:t>
            </w:r>
          </w:p>
        </w:tc>
        <w:tc>
          <w:tcPr>
            <w:tcW w:w="1947" w:type="dxa"/>
            <w:vMerge w:val="continue"/>
            <w:vAlign w:val="center"/>
          </w:tcPr>
          <w:p>
            <w:pPr>
              <w:adjustRightInd/>
              <w:snapToGrid/>
              <w:ind w:firstLine="0" w:firstLineChars="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00"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12</w:t>
            </w:r>
          </w:p>
        </w:tc>
        <w:tc>
          <w:tcPr>
            <w:tcW w:w="6004"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电源连接和外部软线（不包括第25.14条的试验）</w:t>
            </w:r>
          </w:p>
        </w:tc>
        <w:tc>
          <w:tcPr>
            <w:tcW w:w="1947" w:type="dxa"/>
            <w:vMerge w:val="continue"/>
            <w:vAlign w:val="center"/>
          </w:tcPr>
          <w:p>
            <w:pPr>
              <w:adjustRightInd/>
              <w:snapToGrid/>
              <w:ind w:firstLine="0" w:firstLineChars="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00"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13</w:t>
            </w:r>
          </w:p>
        </w:tc>
        <w:tc>
          <w:tcPr>
            <w:tcW w:w="6004"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外部导线用接线端子</w:t>
            </w:r>
          </w:p>
        </w:tc>
        <w:tc>
          <w:tcPr>
            <w:tcW w:w="1947" w:type="dxa"/>
            <w:vMerge w:val="continue"/>
            <w:vAlign w:val="center"/>
          </w:tcPr>
          <w:p>
            <w:pPr>
              <w:adjustRightInd/>
              <w:snapToGrid/>
              <w:ind w:firstLine="0" w:firstLineChars="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00"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14</w:t>
            </w:r>
          </w:p>
        </w:tc>
        <w:tc>
          <w:tcPr>
            <w:tcW w:w="6004"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接地措施</w:t>
            </w:r>
          </w:p>
        </w:tc>
        <w:tc>
          <w:tcPr>
            <w:tcW w:w="1947" w:type="dxa"/>
            <w:vMerge w:val="continue"/>
            <w:vAlign w:val="center"/>
          </w:tcPr>
          <w:p>
            <w:pPr>
              <w:adjustRightInd/>
              <w:snapToGrid/>
              <w:ind w:firstLine="0" w:firstLineChars="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00"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15</w:t>
            </w:r>
          </w:p>
        </w:tc>
        <w:tc>
          <w:tcPr>
            <w:tcW w:w="6004"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螺钉和连接</w:t>
            </w:r>
          </w:p>
        </w:tc>
        <w:tc>
          <w:tcPr>
            <w:tcW w:w="1947" w:type="dxa"/>
            <w:vMerge w:val="continue"/>
            <w:vAlign w:val="center"/>
          </w:tcPr>
          <w:p>
            <w:pPr>
              <w:adjustRightInd/>
              <w:snapToGrid/>
              <w:ind w:firstLine="0" w:firstLineChars="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00"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16</w:t>
            </w:r>
          </w:p>
        </w:tc>
        <w:tc>
          <w:tcPr>
            <w:tcW w:w="6004" w:type="dxa"/>
            <w:vAlign w:val="center"/>
          </w:tcPr>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电气间隙、爬电距离和固体绝缘</w:t>
            </w:r>
          </w:p>
        </w:tc>
        <w:tc>
          <w:tcPr>
            <w:tcW w:w="1947" w:type="dxa"/>
            <w:vMerge w:val="continue"/>
            <w:vAlign w:val="center"/>
          </w:tcPr>
          <w:p>
            <w:pPr>
              <w:adjustRightInd/>
              <w:snapToGrid/>
              <w:ind w:firstLine="0" w:firstLineChars="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00" w:type="dxa"/>
            <w:vAlign w:val="center"/>
          </w:tcPr>
          <w:p>
            <w:pPr>
              <w:adjustRightInd/>
              <w:snapToGrid/>
              <w:ind w:firstLine="0" w:firstLineChars="0"/>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17</w:t>
            </w:r>
          </w:p>
        </w:tc>
        <w:tc>
          <w:tcPr>
            <w:tcW w:w="6004" w:type="dxa"/>
            <w:vAlign w:val="center"/>
          </w:tcPr>
          <w:p>
            <w:pPr>
              <w:adjustRightInd/>
              <w:snapToGrid/>
              <w:ind w:firstLine="0" w:firstLineChars="0"/>
              <w:jc w:val="center"/>
              <w:rPr>
                <w:rFonts w:hint="eastAsia" w:asciiTheme="minorEastAsia" w:hAnsiTheme="minorEastAsia" w:eastAsiaTheme="minorEastAsia"/>
              </w:rPr>
            </w:pPr>
            <w:r>
              <w:rPr>
                <w:rFonts w:hint="eastAsia" w:asciiTheme="minorEastAsia" w:hAnsiTheme="minorEastAsia" w:eastAsiaTheme="minorEastAsia"/>
              </w:rPr>
              <w:t>谐波电流</w:t>
            </w:r>
            <w:r>
              <w:rPr>
                <w:rFonts w:hint="eastAsia" w:asciiTheme="minorEastAsia" w:hAnsiTheme="minorEastAsia" w:eastAsiaTheme="minorEastAsia"/>
              </w:rPr>
              <w:tab/>
            </w:r>
          </w:p>
        </w:tc>
        <w:tc>
          <w:tcPr>
            <w:tcW w:w="1947" w:type="dxa"/>
            <w:vAlign w:val="center"/>
          </w:tcPr>
          <w:p>
            <w:pPr>
              <w:adjustRightInd/>
              <w:snapToGrid/>
              <w:ind w:firstLine="0" w:firstLineChars="0"/>
              <w:jc w:val="center"/>
              <w:rPr>
                <w:rFonts w:hint="eastAsia" w:asciiTheme="minorEastAsia" w:hAnsiTheme="minorEastAsia" w:eastAsiaTheme="minorEastAsia"/>
              </w:rPr>
            </w:pPr>
            <w:r>
              <w:rPr>
                <w:rFonts w:hint="eastAsia" w:asciiTheme="minorEastAsia" w:hAnsiTheme="minorEastAsia" w:eastAsiaTheme="minorEastAsia"/>
              </w:rPr>
              <w:t>GB 17625.1—2012</w:t>
            </w:r>
          </w:p>
          <w:p>
            <w:pPr>
              <w:adjustRightInd/>
              <w:snapToGrid/>
              <w:ind w:firstLine="0" w:firstLineChars="0"/>
              <w:jc w:val="center"/>
              <w:rPr>
                <w:rFonts w:asciiTheme="minorEastAsia" w:hAnsiTheme="minorEastAsia" w:eastAsiaTheme="minorEastAsia"/>
              </w:rPr>
            </w:pPr>
            <w:r>
              <w:rPr>
                <w:rFonts w:hint="eastAsia" w:asciiTheme="minorEastAsia" w:hAnsiTheme="minorEastAsia" w:eastAsiaTheme="minorEastAsia"/>
              </w:rPr>
              <w:t>GB 17625.1—2022</w:t>
            </w:r>
          </w:p>
        </w:tc>
      </w:tr>
    </w:tbl>
    <w:p>
      <w:pPr>
        <w:adjustRightInd w:val="0"/>
        <w:snapToGrid w:val="0"/>
        <w:spacing w:before="156" w:beforeLines="50" w:line="360" w:lineRule="auto"/>
        <w:ind w:firstLine="420" w:firstLineChars="200"/>
        <w:rPr>
          <w:rFonts w:cs="Times New Roman" w:asciiTheme="minorEastAsia" w:hAnsiTheme="minorEastAsia"/>
          <w:color w:val="000000"/>
          <w:szCs w:val="21"/>
        </w:rPr>
      </w:pPr>
    </w:p>
    <w:p>
      <w:pPr>
        <w:adjustRightInd w:val="0"/>
        <w:snapToGrid w:val="0"/>
        <w:spacing w:line="360" w:lineRule="auto"/>
        <w:ind w:firstLine="420" w:firstLineChars="200"/>
        <w:rPr>
          <w:rFonts w:ascii="Times New Roman" w:hAnsi="Times New Roman" w:cs="Times New Roman"/>
          <w:color w:val="000000"/>
          <w:szCs w:val="21"/>
          <w:lang w:val="zh-TW" w:eastAsia="zh-TW"/>
        </w:rPr>
      </w:pPr>
      <w:r>
        <w:rPr>
          <w:rFonts w:hint="eastAsia" w:ascii="Times New Roman" w:hAnsi="Times New Roman" w:cs="Times New Roman"/>
          <w:color w:val="000000"/>
          <w:szCs w:val="21"/>
          <w:lang w:val="zh-TW" w:eastAsia="zh-TW"/>
        </w:rPr>
        <w:t>执行企业标准、团体标准、地方标准的产品，检验项目参照上述内容执行。</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凡是注日期的文件，其随后所有的修改单（不包括勘误的内容）或修订版不适用于本细则。凡是不注日期的文件，其最新版本适用于本细则。</w:t>
      </w:r>
    </w:p>
    <w:p>
      <w:pPr>
        <w:adjustRightInd w:val="0"/>
        <w:snapToGrid w:val="0"/>
        <w:spacing w:line="360" w:lineRule="auto"/>
        <w:ind w:firstLine="420" w:firstLineChars="200"/>
        <w:rPr>
          <w:rFonts w:ascii="Times New Roman" w:hAnsi="Times New Roman" w:cs="Times New Roman"/>
          <w:color w:val="000000"/>
          <w:szCs w:val="21"/>
        </w:rPr>
      </w:pPr>
    </w:p>
    <w:p>
      <w:pPr>
        <w:pStyle w:val="3"/>
        <w:rPr>
          <w:rFonts w:hint="eastAsia"/>
          <w:color w:val="000000"/>
          <w:szCs w:val="21"/>
        </w:rPr>
      </w:pP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3、判定规则</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3.1依据标准</w:t>
      </w:r>
    </w:p>
    <w:p>
      <w:pPr>
        <w:adjustRightInd w:val="0"/>
        <w:snapToGrid w:val="0"/>
        <w:spacing w:line="360" w:lineRule="auto"/>
        <w:ind w:firstLine="417" w:firstLineChars="199"/>
        <w:rPr>
          <w:rFonts w:hint="eastAsia" w:cs="Times New Roman" w:asciiTheme="minorEastAsia" w:hAnsiTheme="minorEastAsia"/>
          <w:color w:val="000000"/>
          <w:szCs w:val="21"/>
        </w:rPr>
      </w:pPr>
      <w:r>
        <w:rPr>
          <w:rFonts w:hint="eastAsia" w:cs="Times New Roman" w:asciiTheme="minorEastAsia" w:hAnsiTheme="minorEastAsia"/>
          <w:color w:val="000000"/>
          <w:szCs w:val="21"/>
        </w:rPr>
        <w:t>GB 17625.1—2012电磁兼容 限值 谐波电流发射限值（设备每相输入电流≤16A）</w:t>
      </w:r>
    </w:p>
    <w:p>
      <w:pPr>
        <w:adjustRightInd w:val="0"/>
        <w:snapToGrid w:val="0"/>
        <w:spacing w:line="360" w:lineRule="auto"/>
        <w:ind w:firstLine="417" w:firstLineChars="199"/>
        <w:rPr>
          <w:rFonts w:hint="eastAsia" w:cs="Times New Roman" w:asciiTheme="minorEastAsia" w:hAnsiTheme="minorEastAsia"/>
          <w:color w:val="000000"/>
          <w:szCs w:val="21"/>
        </w:rPr>
      </w:pPr>
      <w:r>
        <w:rPr>
          <w:rFonts w:hint="eastAsia" w:cs="Times New Roman" w:asciiTheme="minorEastAsia" w:hAnsiTheme="minorEastAsia"/>
          <w:color w:val="000000"/>
          <w:szCs w:val="21"/>
        </w:rPr>
        <w:t>GB 17625.1—2022 电磁兼容 限值 第1部分：谐波电流发射限值(设备每相输入电流≤16A)</w:t>
      </w:r>
    </w:p>
    <w:p>
      <w:pPr>
        <w:adjustRightInd w:val="0"/>
        <w:snapToGrid w:val="0"/>
        <w:spacing w:line="360" w:lineRule="auto"/>
        <w:ind w:firstLine="417" w:firstLineChars="199"/>
        <w:rPr>
          <w:rFonts w:hint="eastAsia" w:cs="Times New Roman" w:asciiTheme="minorEastAsia" w:hAnsiTheme="minorEastAsia"/>
          <w:color w:val="000000"/>
          <w:szCs w:val="21"/>
        </w:rPr>
      </w:pPr>
      <w:r>
        <w:rPr>
          <w:rFonts w:hint="eastAsia" w:cs="Times New Roman" w:asciiTheme="minorEastAsia" w:hAnsiTheme="minorEastAsia"/>
          <w:color w:val="000000"/>
          <w:szCs w:val="21"/>
        </w:rPr>
        <w:t>GB 4706.1—2005 家用和类似用途电器的安全第1部分：通用要求</w:t>
      </w:r>
    </w:p>
    <w:p>
      <w:pPr>
        <w:adjustRightInd w:val="0"/>
        <w:snapToGrid w:val="0"/>
        <w:spacing w:line="360" w:lineRule="auto"/>
        <w:ind w:firstLine="417" w:firstLineChars="199"/>
        <w:rPr>
          <w:rFonts w:cs="Times New Roman" w:asciiTheme="minorEastAsia" w:hAnsiTheme="minorEastAsia"/>
          <w:color w:val="000000"/>
          <w:szCs w:val="21"/>
        </w:rPr>
      </w:pPr>
      <w:r>
        <w:rPr>
          <w:rFonts w:hint="eastAsia" w:cs="Times New Roman" w:asciiTheme="minorEastAsia" w:hAnsiTheme="minorEastAsia"/>
          <w:color w:val="000000"/>
          <w:szCs w:val="21"/>
        </w:rPr>
        <w:t>GB 4706.23—2007 家用和类似用途电器的安全 室内加热器的特殊要求</w:t>
      </w:r>
    </w:p>
    <w:p>
      <w:pPr>
        <w:adjustRightInd w:val="0"/>
        <w:snapToGrid w:val="0"/>
        <w:spacing w:line="360" w:lineRule="auto"/>
        <w:ind w:firstLine="417" w:firstLineChars="199"/>
        <w:rPr>
          <w:rFonts w:cs="Times New Roman" w:asciiTheme="minorEastAsia" w:hAnsiTheme="minorEastAsia"/>
          <w:color w:val="000000"/>
          <w:szCs w:val="21"/>
        </w:rPr>
      </w:pPr>
      <w:r>
        <w:rPr>
          <w:rFonts w:cs="Times New Roman" w:asciiTheme="minorEastAsia" w:hAnsiTheme="minorEastAsia"/>
          <w:color w:val="000000"/>
          <w:szCs w:val="21"/>
        </w:rPr>
        <w:t>现行有效的企业标准、团体标准、地方标准及产品明示质量要求</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3.2判定原则</w:t>
      </w:r>
    </w:p>
    <w:p>
      <w:pPr>
        <w:snapToGrid w:val="0"/>
        <w:spacing w:line="440" w:lineRule="exact"/>
        <w:ind w:firstLine="417" w:firstLineChars="199"/>
        <w:rPr>
          <w:color w:val="000000"/>
          <w:szCs w:val="21"/>
        </w:rPr>
      </w:pPr>
      <w:r>
        <w:rPr>
          <w:color w:val="000000"/>
          <w:szCs w:val="21"/>
        </w:rPr>
        <w:t>经检验，</w:t>
      </w:r>
      <w:r>
        <w:rPr>
          <w:rFonts w:hint="eastAsia"/>
          <w:color w:val="000000"/>
          <w:szCs w:val="21"/>
        </w:rPr>
        <w:t>所</w:t>
      </w:r>
      <w:r>
        <w:rPr>
          <w:color w:val="000000"/>
          <w:szCs w:val="21"/>
        </w:rPr>
        <w:t>检验项目全部</w:t>
      </w:r>
      <w:r>
        <w:rPr>
          <w:rFonts w:hint="eastAsia"/>
          <w:color w:val="000000"/>
          <w:szCs w:val="21"/>
        </w:rPr>
        <w:t>符合标准要求</w:t>
      </w:r>
      <w:r>
        <w:rPr>
          <w:color w:val="000000"/>
          <w:szCs w:val="21"/>
        </w:rPr>
        <w:t>，判定为被抽查产品</w:t>
      </w:r>
      <w:r>
        <w:rPr>
          <w:rFonts w:hint="eastAsia"/>
          <w:color w:val="000000"/>
          <w:szCs w:val="21"/>
        </w:rPr>
        <w:t>未发现不</w:t>
      </w:r>
      <w:r>
        <w:rPr>
          <w:color w:val="000000"/>
          <w:szCs w:val="21"/>
        </w:rPr>
        <w:t>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w:t>
      </w:r>
      <w:r>
        <w:rPr>
          <w:rFonts w:hint="eastAsia"/>
          <w:color w:val="000000"/>
          <w:szCs w:val="21"/>
        </w:rPr>
        <w:t>本</w:t>
      </w:r>
      <w:r>
        <w:rPr>
          <w:color w:val="000000"/>
          <w:szCs w:val="21"/>
        </w:rPr>
        <w:t>细则中检验项目依据的推荐性标准要求时，应以被检产品明示的质量要求判定，但应在检验报告备注中进行说明。</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FF0000"/>
          <w:szCs w:val="21"/>
        </w:rPr>
      </w:pPr>
      <w:r>
        <w:rPr>
          <w:color w:val="000000"/>
          <w:szCs w:val="21"/>
        </w:rPr>
        <w:t>若被检产品明示的质量要求缺少本细则中检验项目依据的推荐性标准要求时，该项目不参与判定，但应在检验报告备注中进行说明。</w:t>
      </w:r>
    </w:p>
    <w:p>
      <w:pPr>
        <w:spacing w:line="360" w:lineRule="auto"/>
        <w:ind w:firstLine="420" w:firstLineChars="200"/>
        <w:rPr>
          <w:rFonts w:hAnsi="宋体"/>
          <w:szCs w:val="21"/>
        </w:rPr>
      </w:pPr>
    </w:p>
    <w:p>
      <w:pPr>
        <w:spacing w:line="360" w:lineRule="auto"/>
      </w:pPr>
      <w:bookmarkStart w:id="0" w:name="_GoBack"/>
      <w:bookmarkEnd w:id="0"/>
    </w:p>
    <w:sectPr>
      <w:footerReference r:id="rId3" w:type="default"/>
      <w:pgSz w:w="11906" w:h="16838"/>
      <w:pgMar w:top="1701" w:right="1418" w:bottom="1701" w:left="1418" w:header="737" w:footer="73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0792F"/>
    <w:multiLevelType w:val="singleLevel"/>
    <w:tmpl w:val="49D0792F"/>
    <w:lvl w:ilvl="0" w:tentative="0">
      <w:start w:val="1"/>
      <w:numFmt w:val="chineseCounting"/>
      <w:pStyle w:val="9"/>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541DC"/>
    <w:rsid w:val="04A74211"/>
    <w:rsid w:val="06490D86"/>
    <w:rsid w:val="08A16AC6"/>
    <w:rsid w:val="09483D23"/>
    <w:rsid w:val="099B69E4"/>
    <w:rsid w:val="0D9528E5"/>
    <w:rsid w:val="196B0845"/>
    <w:rsid w:val="19EF1B21"/>
    <w:rsid w:val="1AA37431"/>
    <w:rsid w:val="1F871A91"/>
    <w:rsid w:val="23704368"/>
    <w:rsid w:val="288C3623"/>
    <w:rsid w:val="2A0E09A3"/>
    <w:rsid w:val="2B95405B"/>
    <w:rsid w:val="2C58166D"/>
    <w:rsid w:val="2C732F30"/>
    <w:rsid w:val="382D5143"/>
    <w:rsid w:val="38C81339"/>
    <w:rsid w:val="3A3C40CB"/>
    <w:rsid w:val="3C5541DC"/>
    <w:rsid w:val="3E4C43FF"/>
    <w:rsid w:val="41CC7D63"/>
    <w:rsid w:val="442E0F76"/>
    <w:rsid w:val="442F08D9"/>
    <w:rsid w:val="44FC2CEC"/>
    <w:rsid w:val="47150E58"/>
    <w:rsid w:val="477641E4"/>
    <w:rsid w:val="47845FFE"/>
    <w:rsid w:val="496B79B6"/>
    <w:rsid w:val="4E244206"/>
    <w:rsid w:val="5AD230E6"/>
    <w:rsid w:val="5AF12B9A"/>
    <w:rsid w:val="5E1F052E"/>
    <w:rsid w:val="676C0C5A"/>
    <w:rsid w:val="6ABD786B"/>
    <w:rsid w:val="73D5607A"/>
    <w:rsid w:val="74A3135C"/>
    <w:rsid w:val="7A1F3457"/>
    <w:rsid w:val="7A4F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jc w:val="center"/>
      <w:outlineLvl w:val="0"/>
    </w:pPr>
    <w:rPr>
      <w:rFonts w:ascii="方正小标宋简体" w:eastAsia="方正小标宋简体"/>
      <w:kern w:val="44"/>
      <w:sz w:val="38"/>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作业指导书一级目录"/>
    <w:basedOn w:val="1"/>
    <w:qFormat/>
    <w:uiPriority w:val="0"/>
    <w:pPr>
      <w:numPr>
        <w:ilvl w:val="0"/>
        <w:numId w:val="1"/>
      </w:numPr>
      <w:spacing w:before="156" w:line="360" w:lineRule="auto"/>
      <w:jc w:val="left"/>
    </w:pPr>
    <w:rPr>
      <w:rFonts w:ascii="Times New Roman" w:hAnsi="Times New Roman" w:eastAsia="宋体"/>
      <w:b/>
      <w:sz w:val="32"/>
    </w:rPr>
  </w:style>
  <w:style w:type="character" w:customStyle="1" w:styleId="10">
    <w:name w:val="15"/>
    <w:basedOn w:val="7"/>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2025-05-12T06:09:00Z</dcterms:created>
  <dc:creator>JYJD</dc:creator>
  <cp:lastModifiedBy>Administrator</cp:lastModifiedBy>
  <dcterms:modified xsi:type="dcterms:W3CDTF">2025-05-19T07:28:22Z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