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关于申报海珠区星级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商务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楼宇评定的通知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根据《广州市海珠区商务楼宇与园区评星及奖励措施》（海投促规字〔2022〕1号），我区将启动海珠区星级商务楼宇评定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，请各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参照《2022年广州市海珠区星级商务楼宇评定申报指南》（详见附件）文件要求，于2022年7月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日报送申报材料至海珠区投资促进局。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逾期未报送，视为放弃申报资格。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如有疑问，请及时与海珠区投资促进局联系。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附件：2022年广州市海珠区星级商务楼宇评定申报指南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海珠区投资促进局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（联系人：刘旭升，34003990,13632210473；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596" w:leftChars="76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刘永欣，34003737,15975329228）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596" w:leftChars="76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596" w:leftChars="76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2022年广州市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海珠区星级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商务楼宇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评定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申报指南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eastAsia="zh-Hans"/>
        </w:rPr>
        <w:t>申报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依据</w:t>
      </w:r>
      <w:r>
        <w:rPr>
          <w:rFonts w:hint="default" w:ascii="Times New Roman" w:hAnsi="Times New Roman" w:eastAsia="黑体" w:cs="Times New Roman"/>
          <w:sz w:val="32"/>
          <w:szCs w:val="32"/>
          <w:lang w:eastAsia="zh-Hans"/>
        </w:rPr>
        <w:t>政策文件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《广州市</w:t>
      </w:r>
      <w:r>
        <w:rPr>
          <w:rFonts w:hint="default" w:ascii="Times New Roman" w:hAnsi="Times New Roman" w:eastAsia="仿宋_GB2312" w:cs="Times New Roman"/>
          <w:sz w:val="32"/>
          <w:szCs w:val="20"/>
        </w:rPr>
        <w:t>海珠区商务楼宇与园区评星及奖励措施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》（海投促规字</w:t>
      </w:r>
      <w:r>
        <w:rPr>
          <w:rFonts w:hint="default" w:ascii="Times New Roman" w:hAnsi="Times New Roman" w:eastAsia="仿宋_GB2312" w:cs="Times New Roman"/>
          <w:sz w:val="32"/>
          <w:szCs w:val="20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20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  <w:t>1号</w:t>
      </w:r>
      <w:r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条件及申报资料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Hans"/>
        </w:rPr>
        <w:t>（一）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“海珠区星级商务楼宇”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申报基本条件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主体是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依法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登记注册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、依法纳税，在本区有固定办公地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独立法人企业。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2.《海珠区星级商务楼宇、园区评分表》分值不低于80分。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近两年无重大安全责任事故，无因消防违法行为或火灾隐患被行政处罚，无重大卫生防疫责任事故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，无集体信访、投诉或重大负面舆情事件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4.近三年申报主体无严重违法失信行为。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420" w:leftChars="20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（二）“海珠区星级商务楼宇”申报其他条件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评定对象为海珠区行政区域内有明确产权归属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投入运营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商务写字楼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商务办公面积不少于3万平方米。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商事、税务登记在海珠区的入驻企业不少于5家。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单一业主的商务写字楼业主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，或业主授权的商务写字楼运营、管理服务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企业；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多业主商务写字楼的占2/3以上面积的业主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，或获得占4/5以上面积的业主授权的楼宇的运营、管理服务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企业，这些企业是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申请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Hans"/>
        </w:rPr>
        <w:t>（三）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Hans"/>
        </w:rPr>
        <w:t>时间及程序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1.本次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海珠区星级商务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楼宇评定采用现场提交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材料的方式报名，报名截止时间为2022年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材料包括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盖章版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纸质版和电子版材料，纸质版材料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Hans"/>
        </w:rPr>
        <w:t>一式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Hans"/>
        </w:rPr>
        <w:t>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（须在材料封面页标注），电子版材料储存在U盘提交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，或发送至海珠区投资促进局工作邮箱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haizhutouzi@163.com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材料出现不一致时，以纸质正本为准。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区投资促进局或区投资促进局委托执行机构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对申报主体提供的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材料（纸质版及电子版）进行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审核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审核需补充完善的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，申报主体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个工作日内提交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补充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或选择退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出申报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材料现场提交至广州市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海珠区投资促进局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地址：广州市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海珠区广州大道南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999号海珠区政府1楼113办公室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办理时间：工作日上午9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00~12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00，下午14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30~17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30；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刘旭升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34003990，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3632210473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刘永欣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34003737，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5975329228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 xml:space="preserve"> 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黑体" w:cs="Times New Roman"/>
          <w:sz w:val="32"/>
          <w:szCs w:val="32"/>
        </w:rPr>
        <w:t>材料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清单</w:t>
      </w:r>
    </w:p>
    <w:tbl>
      <w:tblPr>
        <w:tblStyle w:val="6"/>
        <w:tblW w:w="10050" w:type="dxa"/>
        <w:tblInd w:w="-6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4956"/>
        <w:gridCol w:w="4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9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956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政策要求</w:t>
            </w:r>
          </w:p>
        </w:tc>
        <w:tc>
          <w:tcPr>
            <w:tcW w:w="430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申报资料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89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956" w:type="dxa"/>
          </w:tcPr>
          <w:p>
            <w:pPr>
              <w:numPr>
                <w:ilvl w:val="0"/>
                <w:numId w:val="0"/>
              </w:numPr>
              <w:spacing w:line="560" w:lineRule="exac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主体是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依法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登记注册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、依法纳税，在本区有固定办公地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  <w:t>独立法人企业</w:t>
            </w:r>
          </w:p>
        </w:tc>
        <w:tc>
          <w:tcPr>
            <w:tcW w:w="4305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海珠区星级商务楼宇评定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（详见附件1）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；申报主体书面承诺函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（详见附件2）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主体营业执照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9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《海珠区星级商务楼宇、园区评分表》分值不低于80分</w:t>
            </w:r>
          </w:p>
        </w:tc>
        <w:tc>
          <w:tcPr>
            <w:tcW w:w="4305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海珠区星级商务楼宇、园区评分表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（详见附件3）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956" w:type="dxa"/>
          </w:tcPr>
          <w:p>
            <w:pPr>
              <w:numPr>
                <w:ilvl w:val="0"/>
                <w:numId w:val="0"/>
              </w:numPr>
              <w:spacing w:line="560" w:lineRule="exac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近两年无重大安全责任事故，无因消防违法行为或火灾隐患被行政处罚，无重大卫生防疫责任事故，无集体信访、投诉或重大负面舆情事件</w:t>
            </w:r>
          </w:p>
        </w:tc>
        <w:tc>
          <w:tcPr>
            <w:tcW w:w="4305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近两年无重大安全责任事故，无因消防违法行为或火灾隐患被行政处罚，无重大卫生防疫责任事故，无集体信访、投诉或重大负面舆情事件说明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（详见附件5）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789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956" w:type="dxa"/>
          </w:tcPr>
          <w:p>
            <w:pPr>
              <w:numPr>
                <w:ilvl w:val="0"/>
                <w:numId w:val="0"/>
              </w:numPr>
              <w:spacing w:line="560" w:lineRule="exac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评定对象为海珠区行政区域内有明确产权归属、已投入运营的商务写字楼</w:t>
            </w:r>
          </w:p>
        </w:tc>
        <w:tc>
          <w:tcPr>
            <w:tcW w:w="4305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产权证（或其他可证明产权的资料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若为多业主楼宇，则至少需要2/3以上面积的业主产权证明），建设工程竣工验收备案资料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89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956" w:type="dxa"/>
          </w:tcPr>
          <w:p>
            <w:pPr>
              <w:numPr>
                <w:ilvl w:val="0"/>
                <w:numId w:val="0"/>
              </w:numPr>
              <w:spacing w:line="560" w:lineRule="exac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商务办公面积不少于3万平方米</w:t>
            </w:r>
          </w:p>
        </w:tc>
        <w:tc>
          <w:tcPr>
            <w:tcW w:w="4305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建设工程竣工验收备案资料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956" w:type="dxa"/>
          </w:tcPr>
          <w:p>
            <w:pPr>
              <w:numPr>
                <w:ilvl w:val="0"/>
                <w:numId w:val="0"/>
              </w:numPr>
              <w:spacing w:line="560" w:lineRule="exact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商事、税务登记在海珠区的入驻企业不少于5家</w:t>
            </w:r>
          </w:p>
        </w:tc>
        <w:tc>
          <w:tcPr>
            <w:tcW w:w="4305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已签订租赁合同的入驻企业名单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（详见附件4）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956" w:type="dxa"/>
          </w:tcPr>
          <w:p>
            <w:pPr>
              <w:numPr>
                <w:ilvl w:val="0"/>
                <w:numId w:val="0"/>
              </w:num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单一业主的商务写字楼业主企业，或业主授权的商务写字楼运营、管理服务企业；多业主商务写字楼的占2/3以上面积的业主企业，或获得占4/5以上面积的业主授权的楼宇的运营、管理服务企业，这些企业是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人</w:t>
            </w:r>
          </w:p>
        </w:tc>
        <w:tc>
          <w:tcPr>
            <w:tcW w:w="4305" w:type="dxa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业主授权委托书、业主有效证件、申报主体法定代表人身份证明文件、申报主体简介</w:t>
            </w:r>
          </w:p>
          <w:p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2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7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2022年广州市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海珠区星级楼宇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评定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21"/>
          <w:szCs w:val="21"/>
        </w:rPr>
        <w:t>*申报主体须如实填写以下所有内容</w:t>
      </w:r>
    </w:p>
    <w:tbl>
      <w:tblPr>
        <w:tblStyle w:val="5"/>
        <w:tblW w:w="86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565"/>
        <w:gridCol w:w="1911"/>
        <w:gridCol w:w="23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申报主体基本信息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申报主体名称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申报主体性质</w:t>
            </w:r>
          </w:p>
        </w:tc>
        <w:tc>
          <w:tcPr>
            <w:tcW w:w="68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单一业主、业主申报；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单一业主、委托运营或服务公司申报；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多业主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占2/3以上面积的业主企业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申报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多业主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占4/5以上面积的业主授权的楼宇的运营、管理服务企业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申报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申报主体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联系邮箱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参评楼宇基本信息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参评楼宇名称</w:t>
            </w:r>
          </w:p>
        </w:tc>
        <w:tc>
          <w:tcPr>
            <w:tcW w:w="68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楼宇地址</w:t>
            </w:r>
          </w:p>
        </w:tc>
        <w:tc>
          <w:tcPr>
            <w:tcW w:w="68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总建筑面积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商业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面积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办公面积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总层数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层，（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地上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层；地下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层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标准层净高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平均月租金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（元/平方米）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平均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管理费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（元/平方米）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楼宇入驻企业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总数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楼内优质企业数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办公面积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出租率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入驻企业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注册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率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入驻企业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贡献率</w:t>
            </w:r>
          </w:p>
        </w:tc>
        <w:tc>
          <w:tcPr>
            <w:tcW w:w="2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86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申报主体名称（加盖公章）：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日期：2022年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注：1. “办公面积”是指以《广州市建设工程规划验收合格证》中“建筑功能指标规划验收明细表”功能名称“办公”项下的建筑面积为准。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.“楼内优质企业数”是指楼宇入驻企业属于世界500强企业、中国企业500强、中国制造业企业500强、中国服务业企业500强、上市公司（新三板除外），或是领事机构、“中华老字号”企业、“独角兽”企业、“高精尖”企业以及注册资本在1亿元人民币（或外资企业注册资本1000万美元）以上的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出租率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是指截至申报政策时，已出租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办公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建筑面积占总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办公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建筑面积比率；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注册率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是指商事登记在海珠区的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入驻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企业数占总入驻企业数的比率；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贡献率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是指纳税关系在海珠区的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入驻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企业数占总入驻企业数的比率。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cs="Times New Roman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2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20"/>
          <w:lang w:val="en-US" w:eastAsia="zh-CN"/>
        </w:rPr>
      </w:pPr>
      <w:r>
        <w:rPr>
          <w:rFonts w:hint="default" w:ascii="Times New Roman" w:hAnsi="Times New Roman" w:cs="Times New Roman"/>
          <w:szCs w:val="20"/>
          <w:lang w:eastAsia="zh-CN"/>
        </w:rPr>
        <w:t>附件</w:t>
      </w:r>
      <w:r>
        <w:rPr>
          <w:rFonts w:hint="default" w:ascii="Times New Roman" w:hAnsi="Times New Roman" w:cs="Times New Roman"/>
          <w:szCs w:val="20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2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2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Style w:val="8"/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  <w:r>
        <w:rPr>
          <w:rStyle w:val="8"/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2022年广州市海珠区星级楼宇评定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Style w:val="8"/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  <w:r>
        <w:rPr>
          <w:rStyle w:val="8"/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申报主体书面承诺函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我司作为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参评楼宇名称）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参与2022年广州市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海珠区星级楼宇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评定的申报主体，符合申报主体及参评楼宇的基本要求，现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参加广州市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海珠区星级楼宇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评定，并承诺提交的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评定材料真实、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可靠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遵守评定工作的相关规定及要求。如有违反，我司将承担一切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法律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责任，并无条件退出本次评定。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申报主体名称（加盖公章）：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1440" w:right="1800" w:bottom="1440" w:left="1800" w:header="851" w:footer="58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海珠区星级商务楼宇评定表</w:t>
      </w:r>
    </w:p>
    <w:tbl>
      <w:tblPr>
        <w:tblStyle w:val="5"/>
        <w:tblpPr w:leftFromText="180" w:rightFromText="180" w:vertAnchor="text" w:horzAnchor="page" w:tblpX="1002" w:tblpY="582"/>
        <w:tblOverlap w:val="never"/>
        <w:tblW w:w="105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048"/>
        <w:gridCol w:w="2427"/>
        <w:gridCol w:w="4108"/>
        <w:gridCol w:w="651"/>
        <w:gridCol w:w="7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序号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评定项目及各项满分分值</w:t>
            </w:r>
          </w:p>
        </w:tc>
        <w:tc>
          <w:tcPr>
            <w:tcW w:w="6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评定指标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分值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计分栏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00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0"/>
                <w:highlight w:val="none"/>
                <w:lang w:bidi="ar"/>
              </w:rPr>
              <w:t>一、楼宇招商（45分）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出租率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（10分）</w:t>
            </w:r>
          </w:p>
        </w:tc>
        <w:tc>
          <w:tcPr>
            <w:tcW w:w="6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90%以上，计10分；80%（含）-90%，计8分；70%（含）-80%，计6分；60%（含）-70%，计4分；50%（含）-60%，计2分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在地注册率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（1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分，指在海珠区注册、登记的企业、机构租赁面积占楼宇租赁总面积的百分比）</w:t>
            </w:r>
          </w:p>
        </w:tc>
        <w:tc>
          <w:tcPr>
            <w:tcW w:w="6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80%以上，计15分；70%（含）-80%，计13分；60%（含）-70%，计11分；50%（含）-60%，计9分；40%（含）-50%，计7分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15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3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新增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eastAsia="zh-CN" w:bidi="ar"/>
              </w:rPr>
              <w:t>“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四上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eastAsia="zh-CN" w:bidi="ar"/>
              </w:rPr>
              <w:t>”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企业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（5分）</w:t>
            </w:r>
          </w:p>
        </w:tc>
        <w:tc>
          <w:tcPr>
            <w:tcW w:w="6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2家以上，计5分；1家，计3分或者存量5家以上计5分，3-5家计3分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4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 xml:space="preserve">客户状况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（15 分）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 xml:space="preserve">世界 500 强企业、中国 500 强企业、中国民营500强企业、上市公司的旗下企业（包括分公司） 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 xml:space="preserve"> 2家以上或使用面积不少于 20%，计10分；1家或使用面积不少于 10%，计7分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2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独角兽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eastAsia="zh-CN" w:bidi="ar"/>
              </w:rPr>
              <w:t>“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高精尖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eastAsia="zh-CN" w:bidi="ar"/>
              </w:rPr>
              <w:t>”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、高新技术企业</w:t>
            </w:r>
          </w:p>
        </w:tc>
        <w:tc>
          <w:tcPr>
            <w:tcW w:w="4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2家及以上，计5分；1家，计3分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</w:tr>
    </w:tbl>
    <w:p>
      <w:pPr>
        <w:spacing w:line="550" w:lineRule="exact"/>
        <w:ind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5"/>
        <w:tblpPr w:leftFromText="180" w:rightFromText="180" w:vertAnchor="text" w:horzAnchor="page" w:tblpX="987" w:tblpY="432"/>
        <w:tblOverlap w:val="never"/>
        <w:tblW w:w="105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2048"/>
        <w:gridCol w:w="6535"/>
        <w:gridCol w:w="651"/>
        <w:gridCol w:w="7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0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0"/>
                <w:highlight w:val="none"/>
                <w:lang w:bidi="ar"/>
              </w:rPr>
              <w:t>二、社会经济贡献（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0"/>
                <w:highlight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0"/>
                <w:highlight w:val="none"/>
                <w:lang w:bidi="ar"/>
              </w:rPr>
              <w:t>5 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营业收入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（10 分）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20亿元以上，计10分；15（含）-20亿元，计8分；10（含）-15亿元，计6分；5（含）-10亿元，计4分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6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服务业营业收入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（5分）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3亿元以上，计5分；2（含）-3亿元，计3分；1（含）-2亿元，计1分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7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eastAsia="zh-CN" w:bidi="ar"/>
              </w:rPr>
              <w:t>经济贡献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 xml:space="preserve">总额 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（10 分）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5000万元以上，计10分；4000万元（含）-5000万元，计8分；3000（含）-4000万元，计6分；2000（含）-3000万元，计4分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10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8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eastAsia="zh-CN" w:bidi="ar"/>
              </w:rPr>
              <w:t>经济贡献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强度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（5 分）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1500元及以上，计5分；1200（含）-1500元，计4分；1000（含）-1200元，计3分；800（含）-1000元，计2分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9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研发费用支出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（5分）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1000万以上，计5分；600（含）-1000万元，计3分；200（含）-600万元，计1分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10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知识产权登记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（5分）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5项以上的，计5分；3（含）-5项，计3分；1（含）-2项计1分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11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 xml:space="preserve">就业人数 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（5分，指在商务楼宇内就业的人数）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2000 人以上，计5分；1000（含）-2000人，计4分；500（含）-1000人，计3分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  <w:tc>
          <w:tcPr>
            <w:tcW w:w="10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0"/>
                <w:highlight w:val="none"/>
                <w:lang w:bidi="ar"/>
              </w:rPr>
              <w:t>三、政企互动（10分）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12</w:t>
            </w:r>
          </w:p>
        </w:tc>
        <w:tc>
          <w:tcPr>
            <w:tcW w:w="20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bidi="ar"/>
              </w:rPr>
              <w:t>政企互动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val="en-US" w:eastAsia="zh-CN" w:bidi="ar"/>
              </w:rPr>
              <w:t>10分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2"/>
                <w:highlight w:val="none"/>
                <w:lang w:eastAsia="zh-CN" w:bidi="ar"/>
              </w:rPr>
              <w:t>）</w:t>
            </w: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定期向海珠区主管部门通报楼宇招商、运营情况，对海珠区招商工作或其他具有突出贡献的楼宇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val="en-US" w:eastAsia="zh-CN" w:bidi="ar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</w:pPr>
          </w:p>
        </w:tc>
        <w:tc>
          <w:tcPr>
            <w:tcW w:w="20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eastAsia="zh-CN" w:bidi="ar"/>
              </w:rPr>
            </w:pPr>
          </w:p>
        </w:tc>
        <w:tc>
          <w:tcPr>
            <w:tcW w:w="6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积极打造信用楼宇，开展信用服务及诚信宣传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val="en-US" w:eastAsia="zh-CN" w:bidi="ar"/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59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备注：以上满分为100分。得分≥80分的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eastAsia="zh-CN" w:bidi="ar"/>
              </w:rPr>
              <w:t>可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0"/>
                <w:highlight w:val="none"/>
                <w:lang w:bidi="ar"/>
              </w:rPr>
              <w:t>评为海珠区星级商务楼宇。</w:t>
            </w:r>
          </w:p>
        </w:tc>
      </w:tr>
    </w:tbl>
    <w:p>
      <w:pPr>
        <w:spacing w:line="55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spacing w:line="55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spacing w:line="55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Style w:val="8"/>
          <w:rFonts w:hint="default" w:ascii="Times New Roman" w:hAnsi="Times New Roman" w:cs="Times New Roman"/>
          <w:color w:val="auto"/>
          <w:szCs w:val="20"/>
          <w:u w:val="none"/>
          <w:lang w:val="en-US" w:eastAsia="zh-CN"/>
        </w:rPr>
      </w:pPr>
      <w:r>
        <w:rPr>
          <w:rStyle w:val="8"/>
          <w:rFonts w:hint="default" w:ascii="Times New Roman" w:hAnsi="Times New Roman" w:cs="Times New Roman" w:eastAsiaTheme="minorEastAsia"/>
          <w:color w:val="auto"/>
          <w:szCs w:val="20"/>
          <w:u w:val="none"/>
          <w:lang w:val="en-US" w:eastAsia="zh-CN"/>
        </w:rPr>
        <w:t>附件4</w:t>
      </w:r>
    </w:p>
    <w:p>
      <w:pPr>
        <w:pStyle w:val="2"/>
        <w:ind w:left="0" w:leftChars="0" w:firstLine="0" w:firstLineChars="0"/>
        <w:rPr>
          <w:rStyle w:val="8"/>
          <w:rFonts w:hint="default" w:ascii="Times New Roman" w:hAnsi="Times New Roman" w:cs="Times New Roman"/>
          <w:color w:val="auto"/>
          <w:szCs w:val="20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Style w:val="8"/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Style w:val="8"/>
          <w:rFonts w:hint="default" w:ascii="Times New Roman" w:hAnsi="Times New Roman" w:eastAsia="方正小标宋简体" w:cs="Times New Roman"/>
          <w:color w:val="auto"/>
          <w:sz w:val="44"/>
          <w:szCs w:val="44"/>
          <w:u w:val="single"/>
          <w:lang w:val="en-US" w:eastAsia="zh-CN"/>
        </w:rPr>
        <w:t xml:space="preserve">             </w:t>
      </w:r>
      <w:r>
        <w:rPr>
          <w:rStyle w:val="8"/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楼宇入驻企业名单</w:t>
      </w:r>
    </w:p>
    <w:tbl>
      <w:tblPr>
        <w:tblStyle w:val="5"/>
        <w:tblW w:w="15577" w:type="dxa"/>
        <w:tblInd w:w="-9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915"/>
        <w:gridCol w:w="1695"/>
        <w:gridCol w:w="735"/>
        <w:gridCol w:w="2715"/>
        <w:gridCol w:w="1635"/>
        <w:gridCol w:w="1515"/>
        <w:gridCol w:w="3195"/>
        <w:gridCol w:w="1095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主营业务</w:t>
            </w: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合同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租赁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办公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面积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（㎡）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企业联系人及电话</w:t>
            </w: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是否世界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500强、中国500强、中国民营500强、上市公司旗下企业（包括分公司）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合同就业人数</w:t>
            </w: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知识产权登记数量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3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Style w:val="8"/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left="0" w:leftChars="0" w:firstLine="0" w:firstLineChars="0"/>
        <w:jc w:val="both"/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附件5</w:t>
      </w:r>
    </w:p>
    <w:p>
      <w:pPr>
        <w:pStyle w:val="2"/>
        <w:ind w:left="0" w:leftChars="0" w:firstLine="0" w:firstLineChars="0"/>
        <w:jc w:val="both"/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Style w:val="8"/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  <w:t>楼宇安全、消防、防疫、信访、失信</w:t>
      </w:r>
    </w:p>
    <w:p>
      <w:pPr>
        <w:pStyle w:val="2"/>
        <w:ind w:left="0" w:leftChars="0" w:firstLine="0" w:firstLineChars="0"/>
        <w:jc w:val="center"/>
        <w:rPr>
          <w:rStyle w:val="8"/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none"/>
          <w:lang w:val="en-US" w:eastAsia="zh-CN"/>
        </w:rPr>
        <w:t>相关情况核查表</w:t>
      </w:r>
    </w:p>
    <w:tbl>
      <w:tblPr>
        <w:tblStyle w:val="6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065"/>
        <w:gridCol w:w="1545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746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Style w:val="8"/>
                <w:rFonts w:hint="eastAsia" w:ascii="黑体" w:hAnsi="黑体" w:eastAsia="黑体" w:cs="黑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黑体" w:hAnsi="黑体" w:eastAsia="黑体" w:cs="黑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楼宇名称</w:t>
            </w:r>
          </w:p>
        </w:tc>
        <w:tc>
          <w:tcPr>
            <w:tcW w:w="6081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Style w:val="8"/>
                <w:rFonts w:hint="eastAsia" w:ascii="黑体" w:hAnsi="黑体" w:eastAsia="黑体" w:cs="黑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746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Style w:val="8"/>
                <w:rFonts w:hint="default" w:ascii="黑体" w:hAnsi="黑体" w:eastAsia="黑体" w:cs="黑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黑体" w:hAnsi="黑体" w:eastAsia="黑体" w:cs="黑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申报单位名称</w:t>
            </w:r>
          </w:p>
        </w:tc>
        <w:tc>
          <w:tcPr>
            <w:tcW w:w="6081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Style w:val="8"/>
                <w:rFonts w:hint="default" w:ascii="黑体" w:hAnsi="黑体" w:eastAsia="黑体" w:cs="黑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1" w:type="dxa"/>
            <w:gridSpan w:val="3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Style w:val="8"/>
                <w:rFonts w:hint="default" w:ascii="黑体" w:hAnsi="黑体" w:eastAsia="黑体" w:cs="黑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黑体" w:hAnsi="黑体" w:eastAsia="黑体" w:cs="黑体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4536" w:type="dxa"/>
          </w:tcPr>
          <w:p>
            <w:pPr>
              <w:pStyle w:val="2"/>
              <w:jc w:val="both"/>
              <w:rPr>
                <w:rStyle w:val="8"/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681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Style w:val="8"/>
                <w:rFonts w:hint="default" w:ascii="Times New Roman" w:hAnsi="Times New Roman" w:eastAsia="黑体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黑体" w:hAnsi="黑体" w:eastAsia="黑体" w:cs="黑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事项</w:t>
            </w:r>
          </w:p>
        </w:tc>
        <w:tc>
          <w:tcPr>
            <w:tcW w:w="361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Style w:val="8"/>
                <w:rFonts w:hint="default" w:ascii="Times New Roman" w:hAnsi="Times New Roman" w:eastAsia="黑体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近两年</w:t>
            </w:r>
            <w:r>
              <w:rPr>
                <w:rFonts w:hint="eastAsia" w:cs="Times New Roman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无重大安全责任事故</w:t>
            </w:r>
          </w:p>
        </w:tc>
        <w:tc>
          <w:tcPr>
            <w:tcW w:w="4536" w:type="dxa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Style w:val="8"/>
                <w:rFonts w:hint="eastAsia" w:ascii="Times New Roman" w:hAnsi="Times New Roman" w:eastAsia="黑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有  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无 </w:t>
            </w:r>
            <w:r>
              <w:rPr>
                <w:rStyle w:val="8"/>
                <w:rFonts w:hint="eastAsia" w:ascii="仿宋_GB2312" w:hAnsi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需说明的情况</w:t>
            </w:r>
            <w:r>
              <w:rPr>
                <w:rStyle w:val="8"/>
                <w:rFonts w:hint="eastAsia" w:ascii="Times New Roman" w:hAnsi="Times New Roman" w:eastAsia="黑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：</w:t>
            </w:r>
            <w:r>
              <w:rPr>
                <w:rStyle w:val="8"/>
                <w:rFonts w:hint="eastAsia" w:ascii="Times New Roman" w:hAnsi="Times New Roman" w:eastAsia="黑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</w:p>
          <w:p>
            <w:pPr>
              <w:pStyle w:val="2"/>
              <w:ind w:left="0" w:leftChars="0" w:firstLine="0" w:firstLineChars="0"/>
              <w:jc w:val="both"/>
              <w:rPr>
                <w:rStyle w:val="8"/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黑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Style w:val="8"/>
                <w:rFonts w:hint="eastAsia" w:eastAsia="黑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（可附页）</w:t>
            </w:r>
            <w:r>
              <w:rPr>
                <w:rStyle w:val="8"/>
                <w:rFonts w:hint="eastAsia" w:ascii="Times New Roman" w:hAnsi="Times New Roman" w:eastAsia="黑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Style w:val="8"/>
                <w:rFonts w:hint="eastAsia" w:ascii="Times New Roman" w:hAnsi="Times New Roman" w:eastAsia="黑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681" w:type="dxa"/>
            <w:vMerge w:val="continue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Style w:val="8"/>
                <w:rFonts w:hint="default" w:ascii="Times New Roman" w:hAnsi="Times New Roman" w:eastAsia="黑体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1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Style w:val="8"/>
                <w:rFonts w:hint="default" w:ascii="Times New Roman" w:hAnsi="Times New Roman" w:eastAsia="黑体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近两年</w:t>
            </w:r>
            <w:r>
              <w:rPr>
                <w:rFonts w:hint="eastAsia" w:cs="Times New Roman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无因消防违法行为或火灾隐患被行政处罚</w:t>
            </w:r>
          </w:p>
        </w:tc>
        <w:tc>
          <w:tcPr>
            <w:tcW w:w="4536" w:type="dxa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Style w:val="8"/>
                <w:rFonts w:hint="eastAsia" w:eastAsia="黑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有  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无 </w:t>
            </w:r>
            <w:r>
              <w:rPr>
                <w:rStyle w:val="8"/>
                <w:rFonts w:hint="eastAsia" w:ascii="仿宋_GB2312" w:hAnsi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需说明的情况</w:t>
            </w:r>
            <w:r>
              <w:rPr>
                <w:rStyle w:val="8"/>
                <w:rFonts w:hint="eastAsia" w:ascii="Times New Roman" w:hAnsi="Times New Roman" w:eastAsia="黑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：</w:t>
            </w:r>
            <w:r>
              <w:rPr>
                <w:rStyle w:val="8"/>
                <w:rFonts w:hint="eastAsia" w:ascii="Times New Roman" w:hAnsi="Times New Roman" w:eastAsia="黑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Style w:val="8"/>
                <w:rFonts w:hint="eastAsia" w:eastAsia="黑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</w:p>
          <w:p>
            <w:pPr>
              <w:pStyle w:val="2"/>
              <w:ind w:left="0" w:leftChars="0" w:firstLine="0" w:firstLineChars="0"/>
              <w:jc w:val="both"/>
              <w:rPr>
                <w:rStyle w:val="8"/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黑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Style w:val="8"/>
                <w:rFonts w:hint="eastAsia" w:eastAsia="黑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681" w:type="dxa"/>
            <w:vMerge w:val="continue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Style w:val="8"/>
                <w:rFonts w:hint="default" w:ascii="Times New Roman" w:hAnsi="Times New Roman" w:eastAsia="黑体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1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Style w:val="8"/>
                <w:rFonts w:hint="default" w:ascii="Times New Roman" w:hAnsi="Times New Roman" w:eastAsia="黑体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近两年</w:t>
            </w:r>
            <w:r>
              <w:rPr>
                <w:rFonts w:hint="eastAsia" w:cs="Times New Roman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无重大卫生防疫责任事故</w:t>
            </w:r>
          </w:p>
        </w:tc>
        <w:tc>
          <w:tcPr>
            <w:tcW w:w="4536" w:type="dxa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Style w:val="8"/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有  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无 </w:t>
            </w:r>
            <w:r>
              <w:rPr>
                <w:rStyle w:val="8"/>
                <w:rFonts w:hint="eastAsia" w:ascii="仿宋_GB2312" w:hAnsi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需说明的情况</w:t>
            </w:r>
            <w:r>
              <w:rPr>
                <w:rStyle w:val="8"/>
                <w:rFonts w:hint="eastAsia" w:ascii="Times New Roman" w:hAnsi="Times New Roman" w:eastAsia="黑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：</w:t>
            </w:r>
            <w:r>
              <w:rPr>
                <w:rStyle w:val="8"/>
                <w:rFonts w:hint="eastAsia" w:ascii="Times New Roman" w:hAnsi="Times New Roman" w:eastAsia="黑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Style w:val="8"/>
                <w:rFonts w:hint="eastAsia" w:eastAsia="黑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2"/>
              <w:ind w:left="0" w:leftChars="0" w:firstLine="0" w:firstLineChars="0"/>
              <w:jc w:val="both"/>
              <w:rPr>
                <w:rStyle w:val="8"/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黑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Style w:val="8"/>
                <w:rFonts w:hint="eastAsia" w:eastAsia="黑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Style w:val="8"/>
                <w:rFonts w:hint="eastAsia" w:ascii="Times New Roman" w:hAnsi="Times New Roman" w:eastAsia="黑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Style w:val="8"/>
                <w:rFonts w:hint="eastAsia" w:eastAsia="黑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（可附页）</w:t>
            </w:r>
            <w:r>
              <w:rPr>
                <w:rStyle w:val="8"/>
                <w:rFonts w:hint="eastAsia" w:ascii="Times New Roman" w:hAnsi="Times New Roman" w:eastAsia="黑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681" w:type="dxa"/>
            <w:vMerge w:val="continue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Style w:val="8"/>
                <w:rFonts w:hint="default" w:ascii="Times New Roman" w:hAnsi="Times New Roman" w:eastAsia="黑体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1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Style w:val="8"/>
                <w:rFonts w:hint="default" w:ascii="Times New Roman" w:hAnsi="Times New Roman" w:eastAsia="黑体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近两年</w:t>
            </w:r>
            <w:r>
              <w:rPr>
                <w:rFonts w:hint="eastAsia" w:cs="Times New Roman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eastAsia="zh-CN"/>
              </w:rPr>
              <w:t>无集体信访、投诉或重大负面舆情事件</w:t>
            </w:r>
          </w:p>
        </w:tc>
        <w:tc>
          <w:tcPr>
            <w:tcW w:w="4536" w:type="dxa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Style w:val="8"/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有  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无 </w:t>
            </w:r>
            <w:r>
              <w:rPr>
                <w:rStyle w:val="8"/>
                <w:rFonts w:hint="eastAsia" w:ascii="仿宋_GB2312" w:hAnsi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需说明的情况</w:t>
            </w:r>
            <w:r>
              <w:rPr>
                <w:rStyle w:val="8"/>
                <w:rFonts w:hint="eastAsia" w:ascii="Times New Roman" w:hAnsi="Times New Roman" w:eastAsia="黑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：</w:t>
            </w:r>
            <w:r>
              <w:rPr>
                <w:rStyle w:val="8"/>
                <w:rFonts w:hint="eastAsia" w:ascii="Times New Roman" w:hAnsi="Times New Roman" w:eastAsia="黑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Style w:val="8"/>
                <w:rFonts w:hint="eastAsia" w:eastAsia="黑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</w:p>
          <w:p>
            <w:pPr>
              <w:pStyle w:val="2"/>
              <w:ind w:left="0" w:leftChars="0" w:firstLine="0" w:firstLineChars="0"/>
              <w:jc w:val="both"/>
              <w:rPr>
                <w:rStyle w:val="8"/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黑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（可附页）</w:t>
            </w:r>
            <w:r>
              <w:rPr>
                <w:rStyle w:val="8"/>
                <w:rFonts w:hint="eastAsia" w:ascii="Times New Roman" w:hAnsi="Times New Roman" w:eastAsia="黑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681" w:type="dxa"/>
            <w:vMerge w:val="continue"/>
            <w:vAlign w:val="top"/>
          </w:tcPr>
          <w:p>
            <w:pPr>
              <w:pStyle w:val="2"/>
              <w:ind w:left="0" w:leftChars="0" w:firstLine="0" w:firstLineChars="0"/>
              <w:jc w:val="center"/>
              <w:rPr>
                <w:rStyle w:val="8"/>
                <w:rFonts w:hint="default" w:ascii="Times New Roman" w:hAnsi="Times New Roman" w:eastAsia="黑体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610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Style w:val="8"/>
                <w:rFonts w:hint="default" w:ascii="Times New Roman" w:hAnsi="Times New Roman" w:eastAsia="黑体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近三年申报主体</w:t>
            </w:r>
            <w:r>
              <w:rPr>
                <w:rFonts w:hint="eastAsia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无严重违法失信行为</w:t>
            </w:r>
          </w:p>
        </w:tc>
        <w:tc>
          <w:tcPr>
            <w:tcW w:w="4536" w:type="dxa"/>
            <w:vAlign w:val="top"/>
          </w:tcPr>
          <w:p>
            <w:pPr>
              <w:pStyle w:val="2"/>
              <w:ind w:left="0" w:leftChars="0" w:firstLine="0" w:firstLineChars="0"/>
              <w:jc w:val="both"/>
              <w:rPr>
                <w:rStyle w:val="8"/>
                <w:rFonts w:hint="eastAsia" w:ascii="Times New Roman" w:hAnsi="Times New Roman" w:eastAsia="黑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Style w:val="8"/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有  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无 </w:t>
            </w:r>
            <w:r>
              <w:rPr>
                <w:rStyle w:val="8"/>
                <w:rFonts w:hint="eastAsia" w:ascii="仿宋_GB2312" w:hAnsi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需说明的情况</w:t>
            </w:r>
            <w:r>
              <w:rPr>
                <w:rStyle w:val="8"/>
                <w:rFonts w:hint="eastAsia" w:ascii="Times New Roman" w:hAnsi="Times New Roman" w:eastAsia="黑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：</w:t>
            </w:r>
            <w:r>
              <w:rPr>
                <w:rStyle w:val="8"/>
                <w:rFonts w:hint="eastAsia" w:ascii="Times New Roman" w:hAnsi="Times New Roman" w:eastAsia="黑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Style w:val="8"/>
                <w:rFonts w:hint="eastAsia" w:eastAsia="黑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Style w:val="8"/>
                <w:rFonts w:hint="eastAsia" w:ascii="Times New Roman" w:hAnsi="Times New Roman" w:eastAsia="黑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2"/>
              <w:ind w:left="0" w:leftChars="0" w:firstLine="0" w:firstLineChars="0"/>
              <w:jc w:val="both"/>
              <w:rPr>
                <w:rStyle w:val="8"/>
                <w:rFonts w:hint="default" w:ascii="Times New Roman" w:hAnsi="Times New Roman" w:eastAsia="黑体" w:cs="Times New Roman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Style w:val="8"/>
                <w:rFonts w:hint="eastAsia" w:ascii="Times New Roman" w:hAnsi="Times New Roman" w:eastAsia="黑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Style w:val="8"/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（可附页）</w:t>
            </w:r>
            <w:r>
              <w:rPr>
                <w:rStyle w:val="8"/>
                <w:rFonts w:hint="eastAsia" w:ascii="Times New Roman" w:hAnsi="Times New Roman" w:eastAsia="黑体" w:cs="Times New Roman"/>
                <w:color w:val="auto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8827" w:type="dxa"/>
            <w:gridSpan w:val="4"/>
            <w:vAlign w:val="top"/>
          </w:tcPr>
          <w:p>
            <w:pPr>
              <w:pStyle w:val="2"/>
              <w:ind w:left="0" w:leftChars="0" w:firstLine="560" w:firstLineChars="200"/>
              <w:jc w:val="both"/>
              <w:rPr>
                <w:rFonts w:hint="eastAsia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我司承诺上述情况属实。如有违反，我司将</w:t>
            </w:r>
            <w:r>
              <w:rPr>
                <w:rFonts w:hint="eastAsia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自愿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承担一切法律责任</w:t>
            </w:r>
            <w:r>
              <w:rPr>
                <w:rFonts w:hint="eastAsia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pStyle w:val="2"/>
              <w:ind w:firstLine="560" w:firstLineChars="200"/>
              <w:jc w:val="both"/>
              <w:rPr>
                <w:rFonts w:hint="eastAsia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2"/>
              <w:ind w:firstLine="560" w:firstLineChars="200"/>
              <w:jc w:val="both"/>
              <w:rPr>
                <w:rFonts w:hint="default" w:cs="Times New Roman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cs="Times New Roman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（公司名称）</w:t>
            </w:r>
          </w:p>
          <w:p>
            <w:pPr>
              <w:pStyle w:val="2"/>
              <w:ind w:firstLine="560" w:firstLineChars="200"/>
              <w:jc w:val="both"/>
              <w:rPr>
                <w:rFonts w:hint="default" w:cs="Times New Roman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eastAsia" w:cs="Times New Roman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（时间）      </w:t>
            </w:r>
          </w:p>
          <w:p>
            <w:pPr>
              <w:pStyle w:val="2"/>
              <w:ind w:firstLine="560" w:firstLineChars="200"/>
              <w:jc w:val="both"/>
              <w:rPr>
                <w:rFonts w:hint="default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（加盖企业公章）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Style w:val="8"/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2"/>
        <w:ind w:left="0" w:leftChars="0" w:firstLine="0" w:firstLineChars="0"/>
        <w:jc w:val="both"/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主动公开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8DB2F6"/>
    <w:multiLevelType w:val="singleLevel"/>
    <w:tmpl w:val="728DB2F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5476"/>
    <w:rsid w:val="01DD2898"/>
    <w:rsid w:val="020100CB"/>
    <w:rsid w:val="044F47B5"/>
    <w:rsid w:val="06FF3A01"/>
    <w:rsid w:val="092E200E"/>
    <w:rsid w:val="0A775A72"/>
    <w:rsid w:val="0AAD3047"/>
    <w:rsid w:val="0D260409"/>
    <w:rsid w:val="0E1A0815"/>
    <w:rsid w:val="0EE65EED"/>
    <w:rsid w:val="0FE76A21"/>
    <w:rsid w:val="12175F87"/>
    <w:rsid w:val="185E49A8"/>
    <w:rsid w:val="195D0D2C"/>
    <w:rsid w:val="19AD2EB1"/>
    <w:rsid w:val="1A43298B"/>
    <w:rsid w:val="1DA81CE6"/>
    <w:rsid w:val="1E5B0F3F"/>
    <w:rsid w:val="1F917B0D"/>
    <w:rsid w:val="213C65A6"/>
    <w:rsid w:val="261841AE"/>
    <w:rsid w:val="2B4C45F7"/>
    <w:rsid w:val="2B852287"/>
    <w:rsid w:val="316D779E"/>
    <w:rsid w:val="33775322"/>
    <w:rsid w:val="3524764A"/>
    <w:rsid w:val="474F1955"/>
    <w:rsid w:val="481D0311"/>
    <w:rsid w:val="4ABE6756"/>
    <w:rsid w:val="5240296D"/>
    <w:rsid w:val="527B6856"/>
    <w:rsid w:val="535C02D1"/>
    <w:rsid w:val="57AD4DF4"/>
    <w:rsid w:val="58E25B47"/>
    <w:rsid w:val="5B956991"/>
    <w:rsid w:val="5F332357"/>
    <w:rsid w:val="66434937"/>
    <w:rsid w:val="694A2642"/>
    <w:rsid w:val="69E22D3B"/>
    <w:rsid w:val="6A1E72F0"/>
    <w:rsid w:val="71106924"/>
    <w:rsid w:val="7206323C"/>
    <w:rsid w:val="72880194"/>
    <w:rsid w:val="744841C3"/>
    <w:rsid w:val="745E0AFE"/>
    <w:rsid w:val="755E5987"/>
    <w:rsid w:val="75733E0B"/>
    <w:rsid w:val="7DF53054"/>
    <w:rsid w:val="7EC6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2022-06-23T02:35:00Z</dcterms:created>
  <dc:creator>john</dc:creator>
  <cp:lastModifiedBy>袁伟</cp:lastModifiedBy>
  <dcterms:modified xsi:type="dcterms:W3CDTF">2022-07-13T08:23:16Z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4833200CE24F46E8850E7DEF83A71D1F</vt:lpwstr>
  </property>
</Properties>
</file>