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00" w:lineRule="auto"/>
        <w:jc w:val="left"/>
        <w:rPr>
          <w:rFonts w:hint="eastAsia" w:ascii="仿宋" w:hAnsi="仿宋" w:eastAsia="仿宋" w:cs="仿宋"/>
          <w:bCs/>
          <w:color w:val="000000"/>
          <w:sz w:val="30"/>
          <w:szCs w:val="30"/>
        </w:rPr>
      </w:pPr>
      <w:bookmarkStart w:id="0" w:name="_Toc373344938"/>
      <w:r>
        <w:rPr>
          <w:rFonts w:hint="eastAsia" w:ascii="仿宋" w:hAnsi="仿宋" w:eastAsia="仿宋" w:cs="仿宋"/>
          <w:bCs/>
          <w:color w:val="000000"/>
          <w:sz w:val="30"/>
          <w:szCs w:val="30"/>
        </w:rPr>
        <w:t>附件3：评分表</w:t>
      </w:r>
      <w:bookmarkEnd w:id="0"/>
    </w:p>
    <w:p>
      <w:pPr>
        <w:tabs>
          <w:tab w:val="left" w:pos="720"/>
        </w:tabs>
        <w:spacing w:line="300" w:lineRule="auto"/>
        <w:jc w:val="center"/>
        <w:rPr>
          <w:rFonts w:hint="eastAsia" w:ascii="黑体" w:hAnsi="宋体" w:eastAsia="黑体"/>
          <w:b/>
          <w:color w:val="000000"/>
          <w:sz w:val="30"/>
          <w:szCs w:val="30"/>
        </w:rPr>
      </w:pPr>
      <w:r>
        <w:rPr>
          <w:rFonts w:hint="eastAsia" w:ascii="黑体" w:hAnsi="宋体" w:eastAsia="黑体"/>
          <w:b/>
          <w:color w:val="000000"/>
          <w:kern w:val="0"/>
          <w:sz w:val="36"/>
          <w:szCs w:val="36"/>
        </w:rPr>
        <w:t>评分表</w:t>
      </w:r>
    </w:p>
    <w:tbl>
      <w:tblPr>
        <w:tblStyle w:val="2"/>
        <w:tblpPr w:leftFromText="180" w:rightFromText="180" w:vertAnchor="text" w:horzAnchor="page" w:tblpX="1315" w:tblpY="510"/>
        <w:tblOverlap w:val="never"/>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468"/>
        <w:gridCol w:w="2352"/>
        <w:gridCol w:w="4995"/>
        <w:gridCol w:w="720"/>
        <w:gridCol w:w="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0" w:hRule="atLeast"/>
          <w:tblHeader/>
        </w:trPr>
        <w:tc>
          <w:tcPr>
            <w:tcW w:w="2820" w:type="dxa"/>
            <w:gridSpan w:val="2"/>
            <w:tcBorders>
              <w:top w:val="single" w:color="auto" w:sz="12" w:space="0"/>
              <w:bottom w:val="single" w:color="auto" w:sz="6" w:space="0"/>
            </w:tcBorders>
            <w:shd w:val="clear" w:color="auto" w:fill="E0E0E0"/>
            <w:noWrap w:val="0"/>
            <w:vAlign w:val="center"/>
          </w:tcPr>
          <w:p>
            <w:pPr>
              <w:snapToGrid w:val="0"/>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评审项目</w:t>
            </w:r>
          </w:p>
        </w:tc>
        <w:tc>
          <w:tcPr>
            <w:tcW w:w="4995" w:type="dxa"/>
            <w:tcBorders>
              <w:top w:val="single" w:color="auto" w:sz="12" w:space="0"/>
              <w:bottom w:val="single" w:color="auto" w:sz="6" w:space="0"/>
            </w:tcBorders>
            <w:shd w:val="clear" w:color="auto" w:fill="E0E0E0"/>
            <w:noWrap w:val="0"/>
            <w:vAlign w:val="center"/>
          </w:tcPr>
          <w:p>
            <w:pPr>
              <w:snapToGrid w:val="0"/>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评分标准</w:t>
            </w:r>
          </w:p>
        </w:tc>
        <w:tc>
          <w:tcPr>
            <w:tcW w:w="720" w:type="dxa"/>
            <w:tcBorders>
              <w:top w:val="single" w:color="auto" w:sz="12" w:space="0"/>
              <w:bottom w:val="single" w:color="auto" w:sz="6" w:space="0"/>
            </w:tcBorders>
            <w:shd w:val="clear" w:color="auto" w:fill="E0E0E0"/>
            <w:noWrap w:val="0"/>
            <w:vAlign w:val="center"/>
          </w:tcPr>
          <w:p>
            <w:pPr>
              <w:widowControl/>
              <w:snapToGrid w:val="0"/>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分值</w:t>
            </w:r>
          </w:p>
        </w:tc>
        <w:tc>
          <w:tcPr>
            <w:tcW w:w="786" w:type="dxa"/>
            <w:tcBorders>
              <w:top w:val="single" w:color="auto" w:sz="12" w:space="0"/>
              <w:bottom w:val="single" w:color="auto" w:sz="6" w:space="0"/>
            </w:tcBorders>
            <w:shd w:val="clear" w:color="auto" w:fill="E0E0E0"/>
            <w:noWrap w:val="0"/>
            <w:vAlign w:val="center"/>
          </w:tcPr>
          <w:p>
            <w:pPr>
              <w:snapToGrid w:val="0"/>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0" w:hRule="atLeast"/>
        </w:trPr>
        <w:tc>
          <w:tcPr>
            <w:tcW w:w="468" w:type="dxa"/>
            <w:noWrap w:val="0"/>
            <w:vAlign w:val="center"/>
          </w:tcPr>
          <w:p>
            <w:pPr>
              <w:pStyle w:val="4"/>
              <w:widowControl w:val="0"/>
              <w:numPr>
                <w:ilvl w:val="0"/>
                <w:numId w:val="1"/>
              </w:numPr>
              <w:spacing w:line="288" w:lineRule="auto"/>
              <w:rPr>
                <w:rFonts w:hint="eastAsia" w:ascii="仿宋_GB2312" w:hAnsi="仿宋_GB2312" w:eastAsia="仿宋_GB2312" w:cs="仿宋_GB2312"/>
                <w:color w:val="000000"/>
                <w:sz w:val="24"/>
                <w:szCs w:val="24"/>
              </w:rPr>
            </w:pPr>
          </w:p>
        </w:tc>
        <w:tc>
          <w:tcPr>
            <w:tcW w:w="2352" w:type="dxa"/>
            <w:noWrap w:val="0"/>
            <w:vAlign w:val="center"/>
          </w:tcPr>
          <w:p>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项目报价情况</w:t>
            </w:r>
          </w:p>
        </w:tc>
        <w:tc>
          <w:tcPr>
            <w:tcW w:w="4995" w:type="dxa"/>
            <w:noWrap w:val="0"/>
            <w:vAlign w:val="center"/>
          </w:tcPr>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报价对比最低：20分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报价对比第二低：19分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报价对比第三低：18分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依次类推；</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超出 1</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万元为无效报价。</w:t>
            </w:r>
          </w:p>
        </w:tc>
        <w:tc>
          <w:tcPr>
            <w:tcW w:w="720" w:type="dxa"/>
            <w:noWrap w:val="0"/>
            <w:vAlign w:val="center"/>
          </w:tcPr>
          <w:p>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20分</w:t>
            </w:r>
          </w:p>
        </w:tc>
        <w:tc>
          <w:tcPr>
            <w:tcW w:w="786" w:type="dxa"/>
            <w:noWrap w:val="0"/>
            <w:vAlign w:val="center"/>
          </w:tcPr>
          <w:p>
            <w:pPr>
              <w:snapToGrid w:val="0"/>
              <w:spacing w:line="288" w:lineRule="auto"/>
              <w:ind w:left="210" w:leftChars="100"/>
              <w:jc w:val="center"/>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468" w:type="dxa"/>
            <w:noWrap w:val="0"/>
            <w:vAlign w:val="center"/>
          </w:tcPr>
          <w:p>
            <w:pPr>
              <w:pStyle w:val="4"/>
              <w:widowControl w:val="0"/>
              <w:numPr>
                <w:ilvl w:val="0"/>
                <w:numId w:val="1"/>
              </w:numPr>
              <w:spacing w:line="288" w:lineRule="auto"/>
              <w:rPr>
                <w:rFonts w:hint="eastAsia" w:ascii="仿宋_GB2312" w:hAnsi="仿宋_GB2312" w:eastAsia="仿宋_GB2312" w:cs="仿宋_GB2312"/>
                <w:color w:val="000000"/>
                <w:sz w:val="24"/>
                <w:szCs w:val="24"/>
              </w:rPr>
            </w:pPr>
          </w:p>
        </w:tc>
        <w:tc>
          <w:tcPr>
            <w:tcW w:w="2352" w:type="dxa"/>
            <w:noWrap w:val="0"/>
            <w:vAlign w:val="center"/>
          </w:tcPr>
          <w:p>
            <w:pPr>
              <w:widowControl w:val="0"/>
              <w:numPr>
                <w:ilvl w:val="0"/>
                <w:numId w:val="0"/>
              </w:numPr>
              <w:ind w:leftChars="0"/>
              <w:jc w:val="both"/>
              <w:rPr>
                <w:rFonts w:hint="eastAsia" w:ascii="仿宋_GB2312" w:hAnsi="仿宋_GB2312" w:eastAsia="仿宋_GB2312" w:cs="仿宋_GB2312"/>
                <w:color w:val="000000"/>
                <w:kern w:val="2"/>
                <w:sz w:val="24"/>
                <w:szCs w:val="24"/>
                <w:lang w:val="en-US" w:eastAsia="zh-CN" w:bidi="ar-SA"/>
              </w:rPr>
            </w:pPr>
          </w:p>
          <w:p>
            <w:pPr>
              <w:widowControl w:val="0"/>
              <w:numPr>
                <w:ilvl w:val="0"/>
                <w:numId w:val="0"/>
              </w:numPr>
              <w:ind w:left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供应商具有市级或以上级政府部门或相关行业协会颁发的荣誉证书或奖项：</w:t>
            </w:r>
          </w:p>
          <w:p>
            <w:pPr>
              <w:widowControl w:val="0"/>
              <w:numPr>
                <w:ilvl w:val="0"/>
                <w:numId w:val="0"/>
              </w:numPr>
              <w:ind w:left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注：需提供证明材料并加盖公章，不提供不得分。</w:t>
            </w:r>
          </w:p>
          <w:p>
            <w:pPr>
              <w:spacing w:line="288" w:lineRule="auto"/>
              <w:jc w:val="center"/>
              <w:rPr>
                <w:rFonts w:hint="eastAsia" w:ascii="仿宋_GB2312" w:hAnsi="仿宋_GB2312" w:eastAsia="仿宋_GB2312" w:cs="仿宋_GB2312"/>
                <w:color w:val="000000"/>
                <w:sz w:val="24"/>
                <w:szCs w:val="24"/>
              </w:rPr>
            </w:pPr>
          </w:p>
        </w:tc>
        <w:tc>
          <w:tcPr>
            <w:tcW w:w="4995" w:type="dxa"/>
            <w:noWrap w:val="0"/>
            <w:vAlign w:val="center"/>
          </w:tcPr>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投标人标书中提供的</w:t>
            </w:r>
            <w:r>
              <w:rPr>
                <w:rFonts w:hint="eastAsia" w:ascii="仿宋_GB2312" w:hAnsi="仿宋_GB2312" w:eastAsia="仿宋_GB2312" w:cs="仿宋_GB2312"/>
                <w:color w:val="000000"/>
                <w:sz w:val="24"/>
                <w:szCs w:val="24"/>
                <w:lang w:eastAsia="zh-CN"/>
              </w:rPr>
              <w:t>获奖</w:t>
            </w:r>
            <w:r>
              <w:rPr>
                <w:rFonts w:hint="eastAsia" w:ascii="仿宋_GB2312" w:hAnsi="仿宋_GB2312" w:eastAsia="仿宋_GB2312" w:cs="仿宋_GB2312"/>
                <w:color w:val="000000"/>
                <w:sz w:val="24"/>
                <w:szCs w:val="24"/>
              </w:rPr>
              <w:t>佐证材料等综合对比：</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满足或优于采购人需求，对比最优：25-30分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满足采购人需求，对比较优：20-25分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基本满足采购人需求：15-20分</w:t>
            </w:r>
            <w:bookmarkStart w:id="1" w:name="_GoBack"/>
            <w:bookmarkEnd w:id="1"/>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不满足采购人需求：0-5分</w:t>
            </w:r>
          </w:p>
        </w:tc>
        <w:tc>
          <w:tcPr>
            <w:tcW w:w="720" w:type="dxa"/>
            <w:noWrap w:val="0"/>
            <w:vAlign w:val="center"/>
          </w:tcPr>
          <w:p>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30分</w:t>
            </w:r>
          </w:p>
        </w:tc>
        <w:tc>
          <w:tcPr>
            <w:tcW w:w="786" w:type="dxa"/>
            <w:noWrap w:val="0"/>
            <w:vAlign w:val="center"/>
          </w:tcPr>
          <w:p>
            <w:pPr>
              <w:snapToGrid w:val="0"/>
              <w:spacing w:line="288" w:lineRule="auto"/>
              <w:ind w:left="210" w:leftChars="100"/>
              <w:jc w:val="center"/>
              <w:rPr>
                <w:rFonts w:hint="eastAsia" w:ascii="仿宋_GB2312" w:hAnsi="仿宋_GB2312" w:eastAsia="仿宋_GB2312" w:cs="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0" w:hRule="atLeast"/>
        </w:trPr>
        <w:tc>
          <w:tcPr>
            <w:tcW w:w="468" w:type="dxa"/>
            <w:noWrap w:val="0"/>
            <w:vAlign w:val="center"/>
          </w:tcPr>
          <w:p>
            <w:pPr>
              <w:pStyle w:val="4"/>
              <w:widowControl w:val="0"/>
              <w:numPr>
                <w:ilvl w:val="0"/>
                <w:numId w:val="1"/>
              </w:numPr>
              <w:spacing w:line="288" w:lineRule="auto"/>
              <w:rPr>
                <w:rFonts w:hint="eastAsia" w:ascii="仿宋_GB2312" w:hAnsi="仿宋_GB2312" w:eastAsia="仿宋_GB2312" w:cs="仿宋_GB2312"/>
                <w:color w:val="000000"/>
                <w:kern w:val="2"/>
                <w:sz w:val="24"/>
                <w:szCs w:val="24"/>
                <w:lang w:val="en-US" w:eastAsia="zh-CN" w:bidi="ar-SA"/>
              </w:rPr>
            </w:pPr>
          </w:p>
        </w:tc>
        <w:tc>
          <w:tcPr>
            <w:tcW w:w="2352" w:type="dxa"/>
            <w:noWrap w:val="0"/>
            <w:vAlign w:val="center"/>
          </w:tcPr>
          <w:p>
            <w:pPr>
              <w:widowControl w:val="0"/>
              <w:numPr>
                <w:ilvl w:val="0"/>
                <w:numId w:val="0"/>
              </w:numPr>
              <w:ind w:leftChars="0"/>
              <w:jc w:val="both"/>
              <w:rPr>
                <w:rFonts w:hint="eastAsia" w:ascii="仿宋_GB2312" w:hAnsi="仿宋_GB2312" w:eastAsia="仿宋_GB2312" w:cs="仿宋_GB2312"/>
                <w:color w:val="000000"/>
                <w:kern w:val="2"/>
                <w:sz w:val="24"/>
                <w:szCs w:val="24"/>
                <w:lang w:val="en-US" w:eastAsia="zh-CN" w:bidi="ar-SA"/>
              </w:rPr>
            </w:pPr>
          </w:p>
          <w:p>
            <w:pPr>
              <w:widowControl w:val="0"/>
              <w:numPr>
                <w:ilvl w:val="0"/>
                <w:numId w:val="0"/>
              </w:numPr>
              <w:ind w:left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供应商自2020年1月1日以来（以合同签订时间为准）承接过政府事业单位的新媒体平台运营、活动策划执行。</w:t>
            </w:r>
          </w:p>
          <w:p>
            <w:pPr>
              <w:widowControl w:val="0"/>
              <w:numPr>
                <w:ilvl w:val="0"/>
                <w:numId w:val="0"/>
              </w:numPr>
              <w:ind w:leftChar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注：需提供证明材料并加盖公章，不提供不得分。</w:t>
            </w:r>
          </w:p>
          <w:p>
            <w:pPr>
              <w:spacing w:line="288" w:lineRule="auto"/>
              <w:jc w:val="center"/>
              <w:rPr>
                <w:rFonts w:hint="eastAsia" w:ascii="仿宋_GB2312" w:hAnsi="仿宋_GB2312" w:eastAsia="仿宋_GB2312" w:cs="仿宋_GB2312"/>
                <w:color w:val="000000"/>
                <w:kern w:val="2"/>
                <w:sz w:val="24"/>
                <w:szCs w:val="24"/>
                <w:lang w:val="en-US" w:eastAsia="zh-CN" w:bidi="ar-SA"/>
              </w:rPr>
            </w:pPr>
          </w:p>
          <w:p>
            <w:pPr>
              <w:spacing w:line="288" w:lineRule="auto"/>
              <w:jc w:val="center"/>
              <w:rPr>
                <w:rFonts w:hint="eastAsia" w:ascii="仿宋_GB2312" w:hAnsi="仿宋_GB2312" w:eastAsia="仿宋_GB2312" w:cs="仿宋_GB2312"/>
                <w:color w:val="000000"/>
                <w:kern w:val="2"/>
                <w:sz w:val="24"/>
                <w:szCs w:val="24"/>
                <w:lang w:val="en-US" w:eastAsia="zh-CN" w:bidi="ar-SA"/>
              </w:rPr>
            </w:pPr>
          </w:p>
        </w:tc>
        <w:tc>
          <w:tcPr>
            <w:tcW w:w="4995" w:type="dxa"/>
            <w:noWrap w:val="0"/>
            <w:vAlign w:val="center"/>
          </w:tcPr>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投标人标书中提供的业绩佐证材料等综合对比：</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满足或优于采购人需求，对比最优：40-50分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满足采购人需求，对比较优：30-39分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基本满足采购人需求：20-29分</w:t>
            </w:r>
          </w:p>
          <w:p>
            <w:pPr>
              <w:spacing w:line="288"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不满足采购人需求：0-9分</w:t>
            </w:r>
          </w:p>
        </w:tc>
        <w:tc>
          <w:tcPr>
            <w:tcW w:w="720" w:type="dxa"/>
            <w:noWrap w:val="0"/>
            <w:vAlign w:val="center"/>
          </w:tcPr>
          <w:p>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50分</w:t>
            </w:r>
          </w:p>
        </w:tc>
        <w:tc>
          <w:tcPr>
            <w:tcW w:w="786" w:type="dxa"/>
            <w:noWrap w:val="0"/>
            <w:vAlign w:val="center"/>
          </w:tcPr>
          <w:p>
            <w:pPr>
              <w:snapToGrid w:val="0"/>
              <w:spacing w:line="288" w:lineRule="auto"/>
              <w:ind w:left="210" w:leftChars="100"/>
              <w:jc w:val="center"/>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0" w:hRule="atLeast"/>
        </w:trPr>
        <w:tc>
          <w:tcPr>
            <w:tcW w:w="2820" w:type="dxa"/>
            <w:gridSpan w:val="2"/>
            <w:noWrap w:val="0"/>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满分</w:t>
            </w:r>
          </w:p>
        </w:tc>
        <w:tc>
          <w:tcPr>
            <w:tcW w:w="6501" w:type="dxa"/>
            <w:gridSpan w:val="3"/>
            <w:noWrap w:val="0"/>
            <w:vAlign w:val="center"/>
          </w:tcPr>
          <w:p>
            <w:pPr>
              <w:snapToGrid w:val="0"/>
              <w:ind w:left="210" w:leftChars="10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100分</w:t>
            </w:r>
          </w:p>
        </w:tc>
      </w:tr>
    </w:tbl>
    <w:p>
      <w:pPr>
        <w:ind w:firstLine="576"/>
        <w:jc w:val="left"/>
        <w:rPr>
          <w:rFonts w:hint="eastAsia"/>
        </w:rPr>
      </w:pPr>
    </w:p>
    <w:p>
      <w:pPr>
        <w:spacing w:line="300" w:lineRule="auto"/>
        <w:rPr>
          <w:rFonts w:hint="eastAsia"/>
        </w:rPr>
      </w:pPr>
      <w:r>
        <w:rPr>
          <w:rFonts w:hint="eastAsia" w:ascii="宋体" w:hAnsi="宋体"/>
          <w:b/>
          <w:color w:val="000000"/>
          <w:szCs w:val="21"/>
        </w:rPr>
        <w:t>备注：</w:t>
      </w:r>
      <w:r>
        <w:rPr>
          <w:rFonts w:hint="eastAsia" w:ascii="宋体" w:hAnsi="宋体"/>
          <w:b/>
          <w:bCs/>
          <w:color w:val="000000"/>
          <w:szCs w:val="21"/>
        </w:rPr>
        <w:t>仅对已通过初步评审的投标文件进行评分。</w:t>
      </w:r>
    </w:p>
    <w:p>
      <w:pPr>
        <w:bidi w:val="0"/>
        <w:ind w:firstLine="298" w:firstLineChars="0"/>
        <w:jc w:val="left"/>
        <w:rPr>
          <w:rFonts w:hint="eastAsia" w:ascii="Calibri" w:hAnsi="Calibri" w:cs="黑体"/>
          <w:kern w:val="2"/>
          <w:sz w:val="21"/>
          <w:szCs w:val="2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13"/>
        </w:tabs>
        <w:ind w:left="113" w:hanging="113"/>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WExYTRkMTI1MGM3NDY3ZWM1MGEzZTQ5ZGZkY2UifQ=="/>
  </w:docVars>
  <w:rsids>
    <w:rsidRoot w:val="0A6965F1"/>
    <w:rsid w:val="0A6965F1"/>
    <w:rsid w:val="783C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431</Characters>
  <Lines>0</Lines>
  <Paragraphs>0</Paragraphs>
  <TotalTime>1</TotalTime>
  <ScaleCrop>false</ScaleCrop>
  <LinksUpToDate>false</LinksUpToDate>
  <CharactersWithSpaces>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2023-05-29T10:03:00Z</dcterms:created>
  <dc:creator>Administrator</dc:creator>
  <cp:lastModifiedBy>Administrator</cp:lastModifiedBy>
  <dcterms:modified xsi:type="dcterms:W3CDTF">2023-05-29T10:06:51Z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4EEDA463AE9A4DFFBE20A6D8055DCEE9_11</vt:lpwstr>
  </property>
</Properties>
</file>