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F9" w:rsidRDefault="0055300A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专家评审意见及采纳情况表</w:t>
      </w:r>
    </w:p>
    <w:p w:rsidR="00A12CF9" w:rsidRDefault="00A12CF9"/>
    <w:tbl>
      <w:tblPr>
        <w:tblStyle w:val="a3"/>
        <w:tblW w:w="0" w:type="auto"/>
        <w:tblLook w:val="04A0"/>
      </w:tblPr>
      <w:tblGrid>
        <w:gridCol w:w="735"/>
        <w:gridCol w:w="933"/>
        <w:gridCol w:w="4819"/>
        <w:gridCol w:w="7687"/>
      </w:tblGrid>
      <w:tr w:rsidR="00883DB5" w:rsidTr="00883DB5">
        <w:tc>
          <w:tcPr>
            <w:tcW w:w="735" w:type="dxa"/>
          </w:tcPr>
          <w:p w:rsidR="00A12CF9" w:rsidRDefault="0055300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933" w:type="dxa"/>
          </w:tcPr>
          <w:p w:rsidR="00A12CF9" w:rsidRDefault="0055300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4819" w:type="dxa"/>
          </w:tcPr>
          <w:p w:rsidR="00A12CF9" w:rsidRDefault="0055300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反馈意见及建议</w:t>
            </w:r>
          </w:p>
        </w:tc>
        <w:tc>
          <w:tcPr>
            <w:tcW w:w="7687" w:type="dxa"/>
          </w:tcPr>
          <w:p w:rsidR="00A12CF9" w:rsidRDefault="0055300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采纳情况</w:t>
            </w:r>
          </w:p>
        </w:tc>
      </w:tr>
      <w:tr w:rsidR="00883DB5" w:rsidTr="00883DB5">
        <w:tc>
          <w:tcPr>
            <w:tcW w:w="735" w:type="dxa"/>
            <w:vAlign w:val="center"/>
          </w:tcPr>
          <w:p w:rsidR="00A12CF9" w:rsidRDefault="0055300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33" w:type="dxa"/>
            <w:vAlign w:val="center"/>
          </w:tcPr>
          <w:p w:rsidR="00A12CF9" w:rsidRDefault="0055300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绿化</w:t>
            </w:r>
          </w:p>
        </w:tc>
        <w:tc>
          <w:tcPr>
            <w:tcW w:w="4819" w:type="dxa"/>
            <w:vAlign w:val="center"/>
          </w:tcPr>
          <w:p w:rsidR="00A12CF9" w:rsidRDefault="0055300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建议补充总体设计说明，完善各专业设计说明，补充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完善河涌基本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情况和相关附图。</w:t>
            </w:r>
          </w:p>
        </w:tc>
        <w:tc>
          <w:tcPr>
            <w:tcW w:w="7687" w:type="dxa"/>
            <w:vAlign w:val="center"/>
          </w:tcPr>
          <w:p w:rsidR="00A12CF9" w:rsidRDefault="0055300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采纳，</w:t>
            </w:r>
            <w:r>
              <w:rPr>
                <w:rFonts w:ascii="仿宋" w:eastAsia="仿宋" w:hAnsi="仿宋" w:cs="仿宋" w:hint="eastAsia"/>
                <w:sz w:val="24"/>
              </w:rPr>
              <w:t>按</w:t>
            </w:r>
            <w:r>
              <w:rPr>
                <w:rFonts w:ascii="仿宋" w:eastAsia="仿宋" w:hAnsi="仿宋" w:cs="仿宋" w:hint="eastAsia"/>
                <w:sz w:val="24"/>
              </w:rPr>
              <w:t>专家</w:t>
            </w:r>
            <w:r>
              <w:rPr>
                <w:rFonts w:ascii="仿宋" w:eastAsia="仿宋" w:hAnsi="仿宋" w:cs="仿宋" w:hint="eastAsia"/>
                <w:sz w:val="24"/>
              </w:rPr>
              <w:t>意见修改。</w:t>
            </w:r>
          </w:p>
        </w:tc>
      </w:tr>
      <w:tr w:rsidR="00883DB5" w:rsidTr="00883DB5">
        <w:tc>
          <w:tcPr>
            <w:tcW w:w="735" w:type="dxa"/>
            <w:vAlign w:val="center"/>
          </w:tcPr>
          <w:p w:rsidR="00A12CF9" w:rsidRDefault="0055300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933" w:type="dxa"/>
            <w:vAlign w:val="center"/>
          </w:tcPr>
          <w:p w:rsidR="00A12CF9" w:rsidRDefault="0055300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建筑结构</w:t>
            </w:r>
          </w:p>
        </w:tc>
        <w:tc>
          <w:tcPr>
            <w:tcW w:w="4819" w:type="dxa"/>
            <w:vAlign w:val="center"/>
          </w:tcPr>
          <w:p w:rsidR="00A12CF9" w:rsidRDefault="0055300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补充场地回填范围做法及地基处理相关设计图纸</w:t>
            </w:r>
          </w:p>
        </w:tc>
        <w:tc>
          <w:tcPr>
            <w:tcW w:w="7687" w:type="dxa"/>
            <w:vAlign w:val="center"/>
          </w:tcPr>
          <w:p w:rsidR="00A12CF9" w:rsidRDefault="0055300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采纳，</w:t>
            </w:r>
            <w:r>
              <w:rPr>
                <w:rFonts w:ascii="仿宋" w:eastAsia="仿宋" w:hAnsi="仿宋" w:cs="仿宋" w:hint="eastAsia"/>
                <w:sz w:val="24"/>
              </w:rPr>
              <w:t>按</w:t>
            </w:r>
            <w:r>
              <w:rPr>
                <w:rFonts w:ascii="仿宋" w:eastAsia="仿宋" w:hAnsi="仿宋" w:cs="仿宋" w:hint="eastAsia"/>
                <w:sz w:val="24"/>
              </w:rPr>
              <w:t>专家</w:t>
            </w:r>
            <w:r>
              <w:rPr>
                <w:rFonts w:ascii="仿宋" w:eastAsia="仿宋" w:hAnsi="仿宋" w:cs="仿宋" w:hint="eastAsia"/>
                <w:sz w:val="24"/>
              </w:rPr>
              <w:t>意见修改。</w:t>
            </w:r>
          </w:p>
        </w:tc>
      </w:tr>
      <w:tr w:rsidR="00883DB5" w:rsidTr="00883DB5">
        <w:tc>
          <w:tcPr>
            <w:tcW w:w="735" w:type="dxa"/>
            <w:vAlign w:val="center"/>
          </w:tcPr>
          <w:p w:rsidR="00A12CF9" w:rsidRDefault="0055300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933" w:type="dxa"/>
            <w:vAlign w:val="center"/>
          </w:tcPr>
          <w:p w:rsidR="00A12CF9" w:rsidRDefault="0055300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绿化</w:t>
            </w:r>
          </w:p>
        </w:tc>
        <w:tc>
          <w:tcPr>
            <w:tcW w:w="4819" w:type="dxa"/>
            <w:vAlign w:val="center"/>
          </w:tcPr>
          <w:p w:rsidR="00A12CF9" w:rsidRDefault="0055300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植物选择尽量遵从当地生物稳定性高的品种</w:t>
            </w:r>
          </w:p>
        </w:tc>
        <w:tc>
          <w:tcPr>
            <w:tcW w:w="7687" w:type="dxa"/>
            <w:vAlign w:val="center"/>
          </w:tcPr>
          <w:p w:rsidR="00A12CF9" w:rsidRDefault="0055300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采纳，</w:t>
            </w:r>
            <w:r>
              <w:rPr>
                <w:rFonts w:ascii="仿宋" w:eastAsia="仿宋" w:hAnsi="仿宋" w:cs="仿宋" w:hint="eastAsia"/>
                <w:sz w:val="24"/>
              </w:rPr>
              <w:t>按</w:t>
            </w:r>
            <w:r>
              <w:rPr>
                <w:rFonts w:ascii="仿宋" w:eastAsia="仿宋" w:hAnsi="仿宋" w:cs="仿宋" w:hint="eastAsia"/>
                <w:sz w:val="24"/>
              </w:rPr>
              <w:t>专家</w:t>
            </w:r>
            <w:r>
              <w:rPr>
                <w:rFonts w:ascii="仿宋" w:eastAsia="仿宋" w:hAnsi="仿宋" w:cs="仿宋" w:hint="eastAsia"/>
                <w:sz w:val="24"/>
              </w:rPr>
              <w:t>意见修改。</w:t>
            </w:r>
            <w:r>
              <w:rPr>
                <w:rFonts w:ascii="仿宋" w:eastAsia="仿宋" w:hAnsi="仿宋" w:cs="仿宋" w:hint="eastAsia"/>
                <w:sz w:val="24"/>
              </w:rPr>
              <w:t>植物选择上已考虑广州本土品种，如有：水杉、凤凰木、宫粉紫荆、任面子、小叶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榄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仁、黄花鸡蛋花、腊肠树、丛生紫薇等稳定性高的品种，确保后期长远效果的稳定性及后期维护成本。详见植物设计专项图纸及苗木表。</w:t>
            </w:r>
          </w:p>
        </w:tc>
      </w:tr>
      <w:tr w:rsidR="00883DB5" w:rsidTr="00883DB5">
        <w:tc>
          <w:tcPr>
            <w:tcW w:w="735" w:type="dxa"/>
            <w:vAlign w:val="center"/>
          </w:tcPr>
          <w:p w:rsidR="00A12CF9" w:rsidRDefault="0055300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:rsidR="00A12CF9" w:rsidRDefault="0055300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绿化</w:t>
            </w:r>
          </w:p>
        </w:tc>
        <w:tc>
          <w:tcPr>
            <w:tcW w:w="4819" w:type="dxa"/>
            <w:vAlign w:val="center"/>
          </w:tcPr>
          <w:p w:rsidR="00A12CF9" w:rsidRDefault="0055300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绿带中的道路建议取消石材铺装，统一用透水混凝土</w:t>
            </w:r>
          </w:p>
        </w:tc>
        <w:tc>
          <w:tcPr>
            <w:tcW w:w="7687" w:type="dxa"/>
            <w:vAlign w:val="center"/>
          </w:tcPr>
          <w:p w:rsidR="00A12CF9" w:rsidRDefault="0055300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部分采纳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  <w:r>
              <w:rPr>
                <w:rFonts w:ascii="仿宋" w:eastAsia="仿宋" w:hAnsi="仿宋" w:cs="仿宋" w:hint="eastAsia"/>
                <w:sz w:val="24"/>
              </w:rPr>
              <w:t>根据人们日常使用便捷性考虑，用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种铺装形式及色彩作为不同运动强度人群的界面划分。分别设置</w:t>
            </w:r>
            <w:r>
              <w:rPr>
                <w:rFonts w:ascii="仿宋" w:eastAsia="仿宋" w:hAnsi="仿宋" w:cs="仿宋" w:hint="eastAsia"/>
                <w:sz w:val="24"/>
              </w:rPr>
              <w:t>1.5</w:t>
            </w:r>
            <w:r>
              <w:rPr>
                <w:rFonts w:ascii="仿宋" w:eastAsia="仿宋" w:hAnsi="仿宋" w:cs="仿宋" w:hint="eastAsia"/>
                <w:sz w:val="24"/>
              </w:rPr>
              <w:t>米宽透水沥青慢跑道道与</w:t>
            </w:r>
            <w:r>
              <w:rPr>
                <w:rFonts w:ascii="仿宋" w:eastAsia="仿宋" w:hAnsi="仿宋" w:cs="仿宋" w:hint="eastAsia"/>
                <w:sz w:val="24"/>
              </w:rPr>
              <w:t>1.5</w:t>
            </w:r>
            <w:r>
              <w:rPr>
                <w:rFonts w:ascii="仿宋" w:eastAsia="仿宋" w:hAnsi="仿宋" w:cs="仿宋" w:hint="eastAsia"/>
                <w:sz w:val="24"/>
              </w:rPr>
              <w:t>米宽人行道，分别能满足两股双向人流通行。</w:t>
            </w:r>
          </w:p>
        </w:tc>
      </w:tr>
      <w:tr w:rsidR="00883DB5" w:rsidTr="00883DB5">
        <w:tc>
          <w:tcPr>
            <w:tcW w:w="735" w:type="dxa"/>
            <w:vAlign w:val="center"/>
          </w:tcPr>
          <w:p w:rsidR="00A12CF9" w:rsidRDefault="0055300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933" w:type="dxa"/>
            <w:vAlign w:val="center"/>
          </w:tcPr>
          <w:p w:rsidR="00A12CF9" w:rsidRDefault="0055300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绿化</w:t>
            </w:r>
          </w:p>
        </w:tc>
        <w:tc>
          <w:tcPr>
            <w:tcW w:w="4819" w:type="dxa"/>
            <w:vAlign w:val="center"/>
          </w:tcPr>
          <w:p w:rsidR="00A12CF9" w:rsidRDefault="0055300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建议增加城市家具密度和品类，提高小型休憩空间的密度</w:t>
            </w:r>
          </w:p>
        </w:tc>
        <w:tc>
          <w:tcPr>
            <w:tcW w:w="7687" w:type="dxa"/>
            <w:vAlign w:val="center"/>
          </w:tcPr>
          <w:p w:rsidR="00A12CF9" w:rsidRDefault="0055300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采纳，</w:t>
            </w:r>
            <w:r>
              <w:rPr>
                <w:rFonts w:ascii="仿宋" w:eastAsia="仿宋" w:hAnsi="仿宋" w:cs="仿宋" w:hint="eastAsia"/>
                <w:sz w:val="24"/>
              </w:rPr>
              <w:t>按</w:t>
            </w:r>
            <w:r>
              <w:rPr>
                <w:rFonts w:ascii="仿宋" w:eastAsia="仿宋" w:hAnsi="仿宋" w:cs="仿宋" w:hint="eastAsia"/>
                <w:sz w:val="24"/>
              </w:rPr>
              <w:t>专家</w:t>
            </w:r>
            <w:r>
              <w:rPr>
                <w:rFonts w:ascii="仿宋" w:eastAsia="仿宋" w:hAnsi="仿宋" w:cs="仿宋" w:hint="eastAsia"/>
                <w:sz w:val="24"/>
              </w:rPr>
              <w:t>意见修改。在人流聚集和休闲场地较大的区域，提高小型休憩空间的密度，如增加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坐椅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、外摆设施、花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池坐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凳。</w:t>
            </w:r>
          </w:p>
        </w:tc>
      </w:tr>
      <w:tr w:rsidR="00883DB5" w:rsidTr="00883DB5">
        <w:tc>
          <w:tcPr>
            <w:tcW w:w="735" w:type="dxa"/>
            <w:vAlign w:val="center"/>
          </w:tcPr>
          <w:p w:rsidR="00A12CF9" w:rsidRDefault="0055300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933" w:type="dxa"/>
            <w:vAlign w:val="center"/>
          </w:tcPr>
          <w:p w:rsidR="00A12CF9" w:rsidRDefault="0055300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绿化</w:t>
            </w:r>
          </w:p>
        </w:tc>
        <w:tc>
          <w:tcPr>
            <w:tcW w:w="4819" w:type="dxa"/>
            <w:vAlign w:val="center"/>
          </w:tcPr>
          <w:p w:rsidR="00A12CF9" w:rsidRDefault="0055300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适当考虑设置遮阴设施</w:t>
            </w:r>
            <w:r>
              <w:rPr>
                <w:rFonts w:ascii="仿宋" w:eastAsia="仿宋" w:hAnsi="仿宋" w:cs="仿宋" w:hint="eastAsia"/>
                <w:sz w:val="24"/>
              </w:rPr>
              <w:t>,</w:t>
            </w:r>
            <w:r>
              <w:rPr>
                <w:rFonts w:ascii="仿宋" w:eastAsia="仿宋" w:hAnsi="仿宋" w:cs="仿宋" w:hint="eastAsia"/>
                <w:sz w:val="24"/>
              </w:rPr>
              <w:t>增加边坡防范落水和落水后自救的安全防护设计</w:t>
            </w:r>
          </w:p>
        </w:tc>
        <w:tc>
          <w:tcPr>
            <w:tcW w:w="7687" w:type="dxa"/>
            <w:vAlign w:val="center"/>
          </w:tcPr>
          <w:p w:rsidR="00A12CF9" w:rsidRDefault="0055300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采纳，</w:t>
            </w:r>
            <w:r>
              <w:rPr>
                <w:rFonts w:ascii="仿宋" w:eastAsia="仿宋" w:hAnsi="仿宋" w:cs="仿宋" w:hint="eastAsia"/>
                <w:sz w:val="24"/>
              </w:rPr>
              <w:t>按</w:t>
            </w:r>
            <w:r>
              <w:rPr>
                <w:rFonts w:ascii="仿宋" w:eastAsia="仿宋" w:hAnsi="仿宋" w:cs="仿宋" w:hint="eastAsia"/>
                <w:sz w:val="24"/>
              </w:rPr>
              <w:t>专家</w:t>
            </w:r>
            <w:r>
              <w:rPr>
                <w:rFonts w:ascii="仿宋" w:eastAsia="仿宋" w:hAnsi="仿宋" w:cs="仿宋" w:hint="eastAsia"/>
                <w:sz w:val="24"/>
              </w:rPr>
              <w:t>意见修改。</w:t>
            </w:r>
            <w:r>
              <w:rPr>
                <w:rFonts w:ascii="仿宋" w:eastAsia="仿宋" w:hAnsi="仿宋" w:cs="仿宋" w:hint="eastAsia"/>
                <w:sz w:val="24"/>
              </w:rPr>
              <w:t>036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033</w:t>
            </w:r>
            <w:r>
              <w:rPr>
                <w:rFonts w:ascii="仿宋" w:eastAsia="仿宋" w:hAnsi="仿宋" w:cs="仿宋" w:hint="eastAsia"/>
                <w:sz w:val="24"/>
              </w:rPr>
              <w:t>地块北侧沿河区域增加遮阳伞布置，南侧已考虑大乔遮阴种植；边坡已考虑地被灌木防落水种植，河涌边设防护栏杆、救生圈等设施。</w:t>
            </w:r>
          </w:p>
        </w:tc>
      </w:tr>
      <w:tr w:rsidR="00883DB5" w:rsidTr="00883DB5">
        <w:tc>
          <w:tcPr>
            <w:tcW w:w="735" w:type="dxa"/>
            <w:vAlign w:val="center"/>
          </w:tcPr>
          <w:p w:rsidR="00A12CF9" w:rsidRDefault="0055300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933" w:type="dxa"/>
            <w:vAlign w:val="center"/>
          </w:tcPr>
          <w:p w:rsidR="00A12CF9" w:rsidRDefault="0055300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绿化</w:t>
            </w:r>
          </w:p>
        </w:tc>
        <w:tc>
          <w:tcPr>
            <w:tcW w:w="4819" w:type="dxa"/>
            <w:vAlign w:val="center"/>
          </w:tcPr>
          <w:p w:rsidR="00A12CF9" w:rsidRDefault="0055300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细化园林建筑部分的子项内容</w:t>
            </w:r>
          </w:p>
        </w:tc>
        <w:tc>
          <w:tcPr>
            <w:tcW w:w="7687" w:type="dxa"/>
            <w:vAlign w:val="center"/>
          </w:tcPr>
          <w:p w:rsidR="00A12CF9" w:rsidRDefault="0055300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采纳，</w:t>
            </w:r>
            <w:r>
              <w:rPr>
                <w:rFonts w:ascii="仿宋" w:eastAsia="仿宋" w:hAnsi="仿宋" w:cs="仿宋" w:hint="eastAsia"/>
                <w:sz w:val="24"/>
              </w:rPr>
              <w:t>按</w:t>
            </w:r>
            <w:r>
              <w:rPr>
                <w:rFonts w:ascii="仿宋" w:eastAsia="仿宋" w:hAnsi="仿宋" w:cs="仿宋" w:hint="eastAsia"/>
                <w:sz w:val="24"/>
              </w:rPr>
              <w:t>专家</w:t>
            </w:r>
            <w:r>
              <w:rPr>
                <w:rFonts w:ascii="仿宋" w:eastAsia="仿宋" w:hAnsi="仿宋" w:cs="仿宋" w:hint="eastAsia"/>
                <w:sz w:val="24"/>
              </w:rPr>
              <w:t>意见修改。已细化园林建筑各子项专业内容，详见设计图纸。</w:t>
            </w:r>
          </w:p>
        </w:tc>
      </w:tr>
      <w:tr w:rsidR="00883DB5" w:rsidTr="00883DB5">
        <w:tc>
          <w:tcPr>
            <w:tcW w:w="735" w:type="dxa"/>
            <w:vAlign w:val="center"/>
          </w:tcPr>
          <w:p w:rsidR="00A12CF9" w:rsidRDefault="0055300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933" w:type="dxa"/>
            <w:vAlign w:val="center"/>
          </w:tcPr>
          <w:p w:rsidR="00A12CF9" w:rsidRDefault="0055300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电气</w:t>
            </w:r>
          </w:p>
        </w:tc>
        <w:tc>
          <w:tcPr>
            <w:tcW w:w="4819" w:type="dxa"/>
            <w:vAlign w:val="center"/>
          </w:tcPr>
          <w:p w:rsidR="00A12CF9" w:rsidRDefault="0055300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补充完善对应的照明标准以及考虑日后维护管理的要求</w:t>
            </w:r>
          </w:p>
        </w:tc>
        <w:tc>
          <w:tcPr>
            <w:tcW w:w="7687" w:type="dxa"/>
            <w:vAlign w:val="center"/>
          </w:tcPr>
          <w:p w:rsidR="00A12CF9" w:rsidRDefault="0055300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采纳，</w:t>
            </w:r>
            <w:r>
              <w:rPr>
                <w:rFonts w:ascii="仿宋" w:eastAsia="仿宋" w:hAnsi="仿宋" w:cs="仿宋" w:hint="eastAsia"/>
                <w:sz w:val="24"/>
              </w:rPr>
              <w:t>按</w:t>
            </w:r>
            <w:r>
              <w:rPr>
                <w:rFonts w:ascii="仿宋" w:eastAsia="仿宋" w:hAnsi="仿宋" w:cs="仿宋" w:hint="eastAsia"/>
                <w:sz w:val="24"/>
              </w:rPr>
              <w:t>专家</w:t>
            </w:r>
            <w:r>
              <w:rPr>
                <w:rFonts w:ascii="仿宋" w:eastAsia="仿宋" w:hAnsi="仿宋" w:cs="仿宋" w:hint="eastAsia"/>
                <w:sz w:val="24"/>
              </w:rPr>
              <w:t>意见修改。已补充完善。</w:t>
            </w:r>
          </w:p>
        </w:tc>
      </w:tr>
      <w:tr w:rsidR="00883DB5" w:rsidTr="00883DB5">
        <w:tc>
          <w:tcPr>
            <w:tcW w:w="735" w:type="dxa"/>
            <w:vAlign w:val="center"/>
          </w:tcPr>
          <w:p w:rsidR="00A12CF9" w:rsidRDefault="0055300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933" w:type="dxa"/>
            <w:vAlign w:val="center"/>
          </w:tcPr>
          <w:p w:rsidR="00A12CF9" w:rsidRDefault="0055300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概算</w:t>
            </w:r>
          </w:p>
        </w:tc>
        <w:tc>
          <w:tcPr>
            <w:tcW w:w="4819" w:type="dxa"/>
            <w:vAlign w:val="center"/>
          </w:tcPr>
          <w:p w:rsidR="00A12CF9" w:rsidRDefault="0055300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补充概算编制说明及概算汇总表，复核综合单价。</w:t>
            </w:r>
          </w:p>
        </w:tc>
        <w:tc>
          <w:tcPr>
            <w:tcW w:w="7687" w:type="dxa"/>
            <w:vAlign w:val="center"/>
          </w:tcPr>
          <w:p w:rsidR="00A12CF9" w:rsidRDefault="0055300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采纳，</w:t>
            </w:r>
            <w:r>
              <w:rPr>
                <w:rFonts w:ascii="仿宋" w:eastAsia="仿宋" w:hAnsi="仿宋" w:cs="仿宋" w:hint="eastAsia"/>
                <w:sz w:val="24"/>
              </w:rPr>
              <w:t>按</w:t>
            </w:r>
            <w:r>
              <w:rPr>
                <w:rFonts w:ascii="仿宋" w:eastAsia="仿宋" w:hAnsi="仿宋" w:cs="仿宋" w:hint="eastAsia"/>
                <w:sz w:val="24"/>
              </w:rPr>
              <w:t>专家</w:t>
            </w:r>
            <w:r>
              <w:rPr>
                <w:rFonts w:ascii="仿宋" w:eastAsia="仿宋" w:hAnsi="仿宋" w:cs="仿宋" w:hint="eastAsia"/>
                <w:sz w:val="24"/>
              </w:rPr>
              <w:t>意见修改。</w:t>
            </w:r>
          </w:p>
        </w:tc>
      </w:tr>
      <w:tr w:rsidR="00883DB5" w:rsidTr="00883DB5">
        <w:tc>
          <w:tcPr>
            <w:tcW w:w="735" w:type="dxa"/>
            <w:vAlign w:val="center"/>
          </w:tcPr>
          <w:p w:rsidR="00A12CF9" w:rsidRDefault="0055300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10</w:t>
            </w:r>
          </w:p>
        </w:tc>
        <w:tc>
          <w:tcPr>
            <w:tcW w:w="933" w:type="dxa"/>
            <w:vAlign w:val="center"/>
          </w:tcPr>
          <w:p w:rsidR="00A12CF9" w:rsidRDefault="0055300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绿化</w:t>
            </w:r>
          </w:p>
        </w:tc>
        <w:tc>
          <w:tcPr>
            <w:tcW w:w="4819" w:type="dxa"/>
            <w:vAlign w:val="center"/>
          </w:tcPr>
          <w:p w:rsidR="00A12CF9" w:rsidRDefault="0055300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补充树木保护专章、海绵城市专章说明。</w:t>
            </w:r>
          </w:p>
        </w:tc>
        <w:tc>
          <w:tcPr>
            <w:tcW w:w="7687" w:type="dxa"/>
            <w:vAlign w:val="center"/>
          </w:tcPr>
          <w:p w:rsidR="00A12CF9" w:rsidRDefault="0055300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采纳，</w:t>
            </w:r>
            <w:r>
              <w:rPr>
                <w:rFonts w:ascii="仿宋" w:eastAsia="仿宋" w:hAnsi="仿宋" w:cs="仿宋" w:hint="eastAsia"/>
                <w:sz w:val="24"/>
              </w:rPr>
              <w:t>按</w:t>
            </w:r>
            <w:r>
              <w:rPr>
                <w:rFonts w:ascii="仿宋" w:eastAsia="仿宋" w:hAnsi="仿宋" w:cs="仿宋" w:hint="eastAsia"/>
                <w:sz w:val="24"/>
              </w:rPr>
              <w:t>专家</w:t>
            </w:r>
            <w:r>
              <w:rPr>
                <w:rFonts w:ascii="仿宋" w:eastAsia="仿宋" w:hAnsi="仿宋" w:cs="仿宋" w:hint="eastAsia"/>
                <w:sz w:val="24"/>
              </w:rPr>
              <w:t>意见修改。本项目各个地块已完成树木保护专章报批，本次评审的代建绿地范围内无古树名木及古树后续资源，无大树，无连片成林区域，并补充海绵城市专章说明。</w:t>
            </w:r>
            <w:bookmarkStart w:id="0" w:name="_GoBack"/>
            <w:bookmarkEnd w:id="0"/>
          </w:p>
        </w:tc>
      </w:tr>
    </w:tbl>
    <w:p w:rsidR="00A12CF9" w:rsidRDefault="00A12CF9">
      <w:pPr>
        <w:rPr>
          <w:rFonts w:ascii="仿宋" w:eastAsia="仿宋" w:hAnsi="仿宋" w:cs="仿宋"/>
          <w:sz w:val="24"/>
        </w:rPr>
      </w:pPr>
    </w:p>
    <w:p w:rsidR="00A12CF9" w:rsidRDefault="00A12CF9"/>
    <w:sectPr w:rsidR="00A12CF9" w:rsidSect="00A12C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00A" w:rsidRDefault="0055300A" w:rsidP="00883DB5">
      <w:r>
        <w:separator/>
      </w:r>
    </w:p>
  </w:endnote>
  <w:endnote w:type="continuationSeparator" w:id="0">
    <w:p w:rsidR="0055300A" w:rsidRDefault="0055300A" w:rsidP="00883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00A" w:rsidRDefault="0055300A" w:rsidP="00883DB5">
      <w:r>
        <w:separator/>
      </w:r>
    </w:p>
  </w:footnote>
  <w:footnote w:type="continuationSeparator" w:id="0">
    <w:p w:rsidR="0055300A" w:rsidRDefault="0055300A" w:rsidP="00883D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F05FF3"/>
    <w:rsid w:val="0055300A"/>
    <w:rsid w:val="00883DB5"/>
    <w:rsid w:val="00A12CF9"/>
    <w:rsid w:val="3F352F60"/>
    <w:rsid w:val="44925B31"/>
    <w:rsid w:val="66F0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2C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83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83DB5"/>
    <w:rPr>
      <w:kern w:val="2"/>
      <w:sz w:val="18"/>
      <w:szCs w:val="18"/>
    </w:rPr>
  </w:style>
  <w:style w:type="paragraph" w:styleId="a5">
    <w:name w:val="footer"/>
    <w:basedOn w:val="a"/>
    <w:link w:val="Char0"/>
    <w:rsid w:val="00883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83D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qin_rw</dc:creator>
  <cp:lastModifiedBy>PC</cp:lastModifiedBy>
  <cp:revision>2</cp:revision>
  <dcterms:created xsi:type="dcterms:W3CDTF">2024-11-15T03:45:00Z</dcterms:created>
  <dcterms:modified xsi:type="dcterms:W3CDTF">2024-11-15T03:45:00Z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E5D7D8D409C04E64A8004FC5E6903FA1_11</vt:lpwstr>
  </property>
</Properties>
</file>