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before="0" w:after="0" w:line="580" w:lineRule="exact"/>
        <w:ind w:left="0" w:leftChars="0" w:right="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wordWrap/>
        <w:adjustRightInd/>
        <w:snapToGrid/>
        <w:spacing w:before="0" w:after="0" w:line="590" w:lineRule="exact"/>
        <w:ind w:right="0"/>
        <w:jc w:val="center"/>
        <w:textAlignment w:val="auto"/>
        <w:outlineLvl w:val="9"/>
        <w:rPr>
          <w:rFonts w:hint="eastAsia" w:ascii="仿宋_GB2312" w:hAnsi="仿宋_GB2312" w:eastAsia="仿宋_GB2312" w:cs="仿宋_GB2312"/>
          <w:kern w:val="0"/>
          <w:sz w:val="32"/>
          <w:szCs w:val="32"/>
          <w:lang w:eastAsia="zh-CN"/>
        </w:rPr>
      </w:pPr>
    </w:p>
    <w:p>
      <w:pPr>
        <w:widowControl w:val="0"/>
        <w:wordWrap/>
        <w:adjustRightInd/>
        <w:snapToGrid/>
        <w:spacing w:beforeLines="5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海珠区公共服务事项目录清单（2018版）</w:t>
      </w:r>
    </w:p>
    <w:p>
      <w:pPr>
        <w:wordWrap/>
        <w:adjustRightInd/>
        <w:snapToGrid/>
        <w:spacing w:before="0" w:after="0" w:line="590" w:lineRule="exact"/>
        <w:ind w:right="0"/>
        <w:jc w:val="center"/>
        <w:textAlignment w:val="auto"/>
        <w:outlineLvl w:val="9"/>
        <w:rPr>
          <w:rFonts w:hint="default" w:ascii="Times New Roman" w:hAnsi="Times New Roman" w:eastAsia="仿宋_GB2312" w:cs="Times New Roman"/>
          <w:kern w:val="0"/>
          <w:sz w:val="32"/>
          <w:szCs w:val="32"/>
        </w:rPr>
      </w:pPr>
    </w:p>
    <w:tbl>
      <w:tblPr>
        <w:tblStyle w:val="4"/>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50"/>
        <w:gridCol w:w="1032"/>
        <w:gridCol w:w="1032"/>
        <w:gridCol w:w="2074"/>
        <w:gridCol w:w="2421"/>
        <w:gridCol w:w="1304"/>
        <w:gridCol w:w="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i w:val="0"/>
                <w:color w:val="000000"/>
                <w:sz w:val="22"/>
                <w:szCs w:val="22"/>
              </w:rPr>
            </w:pPr>
            <w:r>
              <w:rPr>
                <w:rFonts w:hint="eastAsia" w:ascii="黑体" w:hAnsi="宋体" w:eastAsia="黑体" w:cs="黑体"/>
                <w:i w:val="0"/>
                <w:color w:val="000000"/>
                <w:kern w:val="0"/>
                <w:sz w:val="22"/>
                <w:szCs w:val="22"/>
                <w:lang w:val="en-US" w:eastAsia="zh-CN" w:bidi="ar-SA"/>
              </w:rPr>
              <w:t>序号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000000"/>
                <w:sz w:val="22"/>
                <w:szCs w:val="22"/>
              </w:rPr>
            </w:pPr>
            <w:r>
              <w:rPr>
                <w:rFonts w:hint="eastAsia" w:ascii="黑体" w:hAnsi="宋体" w:eastAsia="黑体" w:cs="黑体"/>
                <w:i w:val="0"/>
                <w:color w:val="000000"/>
                <w:kern w:val="0"/>
                <w:sz w:val="22"/>
                <w:szCs w:val="22"/>
                <w:lang w:val="en-US" w:eastAsia="zh-CN" w:bidi="ar-SA"/>
              </w:rPr>
              <w:t>基本编码</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000000"/>
                <w:sz w:val="22"/>
                <w:szCs w:val="22"/>
              </w:rPr>
            </w:pPr>
            <w:r>
              <w:rPr>
                <w:rFonts w:hint="eastAsia" w:ascii="黑体" w:hAnsi="宋体" w:eastAsia="黑体" w:cs="黑体"/>
                <w:i w:val="0"/>
                <w:color w:val="000000"/>
                <w:kern w:val="0"/>
                <w:sz w:val="22"/>
                <w:szCs w:val="22"/>
                <w:lang w:val="en-US" w:eastAsia="zh-CN" w:bidi="ar-SA"/>
              </w:rPr>
              <w:t>子项编码</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000000"/>
                <w:sz w:val="22"/>
                <w:szCs w:val="22"/>
              </w:rPr>
            </w:pPr>
            <w:r>
              <w:rPr>
                <w:rFonts w:hint="eastAsia" w:ascii="黑体" w:hAnsi="宋体" w:eastAsia="黑体" w:cs="黑体"/>
                <w:i w:val="0"/>
                <w:color w:val="000000"/>
                <w:kern w:val="0"/>
                <w:sz w:val="22"/>
                <w:szCs w:val="22"/>
                <w:lang w:val="en-US" w:eastAsia="zh-CN" w:bidi="ar-SA"/>
              </w:rPr>
              <w:t>事项名称</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000000"/>
                <w:sz w:val="22"/>
                <w:szCs w:val="22"/>
              </w:rPr>
            </w:pPr>
            <w:r>
              <w:rPr>
                <w:rFonts w:hint="eastAsia" w:ascii="黑体" w:hAnsi="宋体" w:eastAsia="黑体" w:cs="黑体"/>
                <w:i w:val="0"/>
                <w:color w:val="000000"/>
                <w:kern w:val="0"/>
                <w:sz w:val="22"/>
                <w:szCs w:val="22"/>
                <w:lang w:val="en-US" w:eastAsia="zh-CN" w:bidi="ar-SA"/>
              </w:rPr>
              <w:t>子项名称</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000000"/>
                <w:sz w:val="22"/>
                <w:szCs w:val="22"/>
              </w:rPr>
            </w:pPr>
            <w:r>
              <w:rPr>
                <w:rFonts w:hint="eastAsia" w:ascii="黑体" w:hAnsi="宋体" w:eastAsia="黑体" w:cs="黑体"/>
                <w:i w:val="0"/>
                <w:color w:val="000000"/>
                <w:kern w:val="0"/>
                <w:sz w:val="22"/>
                <w:szCs w:val="22"/>
                <w:lang w:val="en-US" w:eastAsia="zh-CN" w:bidi="ar-SA"/>
              </w:rPr>
              <w:t>部门名称</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color w:val="000000"/>
                <w:sz w:val="22"/>
                <w:szCs w:val="22"/>
              </w:rPr>
            </w:pPr>
            <w:r>
              <w:rPr>
                <w:rFonts w:hint="eastAsia" w:ascii="黑体" w:hAnsi="宋体" w:eastAsia="黑体" w:cs="黑体"/>
                <w:i w:val="0"/>
                <w:color w:val="000000"/>
                <w:kern w:val="0"/>
                <w:sz w:val="22"/>
                <w:szCs w:val="22"/>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1110001000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1110001003</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实行政府定价、政府指导价管理的价格和收费审批</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具有自然垄断经营和公益性特征的机动车停放设施服务收费标准核准</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海珠区发改局（区粮食和储备局）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1110001002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政府投资兴办的养老机构养老服务收费标准（仅限床位费）</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海珠区发改局（区粮食和储备局）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3</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1190207001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中考报名资格审核</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海珠区教育局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4</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1100012000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1100012001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随迁子女高考报考资格审核</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海珠区教育局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5</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1100038000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1100038001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政策性入户登记</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收养入户（户口市外迁入）</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6</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1100038002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投靠配偶入户（户口市外迁入）</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7</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1100038003</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投靠子女入户（户口市外迁入）</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8</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1100038004</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投靠父母入户（户口市外迁入）</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9</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1100040000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1100040001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无犯罪记录证明</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1190109000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1190109001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公务用枪持枪证件受理发证</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1190110000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1190110001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管制刀具制造企业备案</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12</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1190111001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弩的运输备案</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13</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1190112000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1190112001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旧货业登记备案</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14</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1190113000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1190113001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爆破作业合同备案</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15</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1190114000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1190114002</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户口登记</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本市大中专(技工)院校招生迁入学生集体户</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16</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1190114009</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（入户审批类）收养、投靠配偶、投靠子女、投靠父母</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17</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1190114010</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出生登记入户</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18</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1190114011</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恢复户口</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19</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1190114012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注销户口</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20</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1190114013</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户口迁出市外</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21</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1190114014</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户口市内迁移</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22</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1190114015</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户口项目变更更正</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23</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1190114016</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同址分户登记</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24</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1190114017</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设立集体户口登记</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25</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1190114018</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回国回境定居入户</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26</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1190115000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1190115001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入户核准、登记</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人才引进核准、入户登记</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27</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1190115002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接收大中专（技工）应届毕业生核准、入户登记</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28</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1190115003</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军队转业干部及配偶、未成年子女核准、入户登记</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29</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1190115004</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军队复员干部、转业士官、退伍义务兵核准、入户登记</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30</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1190115006</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军队离退休干部及随迁家属核准、入户登记</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31</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1190115007</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博士后进出站人员核准、入户登记</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32</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1190115008</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积分制入户核准、入户登记</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33</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1190115009</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接收优秀退伍士兵市外迁入核准、入户登记</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34</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1190116000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1190116001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《准予迁入证明》、《户口迁移证》申领、遗失补领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《准予迁入证明》申领、补领</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35</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1190116002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《户口迁移证》申领、补领</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36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1190117001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《居民户口簿》申领、补领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37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1190119000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1190119001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居民身份证申领、换领、补领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38</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1190120000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1190120001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临时居民身份证办理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39</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1190121000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1190121001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人口信息查询</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40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1190160000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1190160001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港澳台居民居住证办理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41</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1110006000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1110006001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自行招用保安员单位备案</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40" w:lineRule="auto"/>
              <w:ind w:left="0" w:leftChars="0" w:right="0" w:firstLine="0" w:firstLineChars="0"/>
              <w:jc w:val="center"/>
              <w:textAlignment w:val="center"/>
              <w:outlineLvl w:val="9"/>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海珠区公安分局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42</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1100046000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1100046001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民办养老机构的资助</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海珠区民政局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43</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1100049000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1100049001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公办养老机构入住评估轮候申请</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海珠区民政局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44</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1190207001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居家养老服务</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“平安通”服务</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海珠区民政局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45</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1190207002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居家养老服务补助</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海珠区民政局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46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1190127000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1190127001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民办社会福利机构成立、变更、注销登记</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海珠区民政局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47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1100060000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1100060001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异地人才引进（含技能人才）的审核</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48</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1190001000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1190001001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失业人员人事档案管理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49</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1190002000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1190002001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工伤事故报告上报</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50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1190003000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1190003001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工伤认定申请</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51</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1190004000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1190004001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城乡养老保险基本信息管理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城乡人员资料变更</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52</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1190004002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城乡养老保险单位资料变更</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53</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1190004003</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城乡养老保险单位注销登记</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54</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1190005000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1190005001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建筑企业工伤单位信息维护</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55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1190006000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1190006001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参保单位资料变更（社保部分）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56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1190007000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1190007001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职工个人社保资料变更（社保部分）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57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1190009000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1190009001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人员单位间转移</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58</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1190011000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1190011001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重复参保人员合并</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59</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1190013000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1190013001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工伤人员信息变更</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60</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1190014000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1190014001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社保待遇变更</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影响待遇发放经历信息维护</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61</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1190014007</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社保待遇停续</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62</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1190014003</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社保待遇补退</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63</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1190014004</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社保待遇收回</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64</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1190014005</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社保待遇补拨补扣</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65</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1190014006</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待遇重算（缴费信息等影响待遇因素发生变化需重新核算）</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66</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1190015000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1190015001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社保历史欠费信息处理（2009 年前）</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个人社保欠费到账实收</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67</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1190015002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单位社保欠费到账实收</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68</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1190015003</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社保费个人还款处理</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69</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1190015004</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社保费单位还款处理</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70</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1190015005</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单位社保欠费核销</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71</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1190015006</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个人社保欠费核销</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72</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1190021000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1190021001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城镇职工退费处理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73</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1190022000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1190022001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个人差额补退</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74</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1190023000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1190023001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缴费记录维护</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单位退统筹缴费历史恢复</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75</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1190023002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税务全责征收前一次性缴费历史修订（全责前一次性缴费历史修订）</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76</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1190023003</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税务全责征收一次性缴费历史修订（税务一次性缴费历史修订）</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77</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1190023004</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税务已退费数据修订</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78</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1190023005</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税务全责征收缴费历史修订（税务全责缴费历史修订）</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79</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1190023006</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个人缴费历史修订</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6"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80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1190029000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1190029001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早期下乡知青一次性缴费核定</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81</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1190030000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1190030001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离开机关事业单位人员一次性缴费核定</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82</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1190031000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1190031001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企业未参保人员纳入基本养老一次性缴费核定</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83</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1190205000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1190205001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居民养老参保登记信息管理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居民养老人员停保</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84</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1190205002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居民养老退费</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85</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1190205003</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居民养老欠费核销</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86</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1190205004</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居民养老补缴</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87</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1190205005</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居民养老其他原因退个人账户</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88</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1190205006</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居民养老人员续保</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89</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1190206000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1190206001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城乡养老保险参保登记信息管理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城乡养老增员</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90</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1190206002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城乡养老减员</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91</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1190206003</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城乡养老实缴退费</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92</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1190206004</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城乡养老欠费核销</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93</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1190206005</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城乡养老一次性缴费</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94</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1190206006</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城乡养老特批补收</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95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1190047000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1190047001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征地预存款处理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96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1190058000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1190058001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社保待遇资格认证</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97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1190059000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1190059001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社保发放方式管理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98</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1190061000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1190061001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城镇职工基本养老保险死亡待遇申领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99</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1190064000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1190064001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按月领取基本养老金申请</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1190066000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1190066001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一次性养老保险待遇申领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101</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1190067000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1190067001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农转居人员死亡待遇申领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102</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1190070000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1190070001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农转居退休转城职退休清退</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103</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1190071000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1190071001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城乡一次性待遇处理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城乡养老死亡待遇申领</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104</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1190071004</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城乡养老清退个人账户</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105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1190073000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1190073001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城乡养老申领按月养老金办理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106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1190075000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1190075001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按月失业待遇申领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107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1190076000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1190076001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失业人员失业验证</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108</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1190078000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1190078001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原农民工一次性失业生活补助金申领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109</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1190079000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1190079001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失业期间死亡待遇申领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1190080000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1190080001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生育一次性加发失业保险金申领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111</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1190081001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稳定就业后失业保险金一次性领取</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112</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1190082000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1190082001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自主创业后失业保险金一次性领取</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113</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1190083000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1190083001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失业期间职业技能鉴定补贴申领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114</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1190084000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1190084001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非本省户籍失业保险金一次性领取</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1190085000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1190085001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失业保险稳岗补贴申领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1190086000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1190086001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军转干失业待遇申领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1190087001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军转干部失业验证</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118</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1190088000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1190088001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老工伤人员伤残待遇申领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1190089000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1190089001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工伤人员待遇申领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120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1190090000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1190090001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工伤医疗费资格审核</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121</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1190091001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工伤食宿交通费申领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122</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1190092000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1190092001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工伤死亡待遇申领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123</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1190093000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1190093001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工伤保险先行支付待遇审核</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124</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1190094000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1190094001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生育保险缴费年限备案</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125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1190095000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1190095001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生育保险待遇申领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126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1190096000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1190096001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生育死亡待遇申领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127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1190097001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失业保险转出</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128</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1190098000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1190098001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失业保险转入</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失业保险关系转入（省内、跨省）</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129</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1190098002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失业保险待遇转入（省内、跨省）</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130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1190099000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1190099001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城镇企业职工基本养老保险关系跨省、省内转出</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131</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1190100000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1190100001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城镇企业职工基本养老保险关系跨省、省内转入</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跨省养老保险转入（一般账户、临时账户）</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132</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1190100003</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省内养老保险转入</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133</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1190101000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1190101002</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未就业随军配偶基本养老保险关系、军人退役养老保险补助转入</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退役军人养老保险补助转入</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134</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1190101003</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未就业随军配偶转入</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135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1190108000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1190108001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农转居月定期养老待遇申领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136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1190163000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1190163001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就业登记</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137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1190164000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1190164001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失业登记</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海珠区人社局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138</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1100175000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1100175001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建筑起重机械使用登记</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139</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1100360000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1100360001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项目负责人解锁及变更</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140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1190202000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1190202001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物业专项维修资金申请列支审核</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141</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1190195000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1190195001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排水设施设计条件咨询</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海珠区水务局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142</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1190196000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1190196001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排水许可水质检测</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海珠区水务局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143</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1190197001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公共排水设施接驳核准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海珠区水务局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144</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1100404000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1100404001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网络预约出租汽车驾驶员证资料修改</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145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1100406000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1100406001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网络预约出租汽车驾驶员证注销</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146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1100407000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1100407001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网络预约出租汽车驾驶员证遗失补办、破损换证</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147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1100456000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1100456001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道路客运企业《道路运输经营许可证》到期换证</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148</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1100457000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1100457001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道路客运企业《道路运输经营许可证》遗失补发</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149</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1100467000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1100467001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巡游出租汽车企业《道路运输经营许可证》续期换证</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150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1190165000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1190165001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巡游出租汽车驾驶员证到期换证</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151</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1190166000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1190166001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巡游出租汽车驾驶员证注销</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152</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1190167000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1190167001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巡游出租汽车驾驶员证遗失补办、破损换证</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153</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1190168000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1190168001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道路危险货物运输从业人员从业资格证资料修改</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154</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1190169000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1190169001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道路危险货物运输从业人员从业资格证到期换证</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155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1190170000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1190170001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道路危险货物运输从业人员从业资格证注销</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156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1190171001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道路危险货物运输从业人员从业资格证遗失补办、破损换证</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157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1190172000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1190172001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经营性道路客货运输驾驶员从业资格证资料修改</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158</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1190173000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1190173001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经营性道路客货运输驾驶员从业资格证到期换证</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159</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1190174000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1190174001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经营性道路客货运输驾驶员从业资格证注销</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160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1190175000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1190175001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经营性道路客货运输驾驶员从业资格证遗失补办、破损换证</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161</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1190176000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1190176001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巡游出租汽车驾驶员证资料修改</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162</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1190177001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道路运输站（场）经营许可（客运站场《道路运输经营许可证》到期换证）</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163</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1190178000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1190178001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道路运输站（场）经营许可（客运站经营许可变更）</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164</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1190179000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1190179001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道路运输站（场）经营许可（客运站经营许可歇业）</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165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1190180000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1190180001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货运代理（代办）经营备案变更</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166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1190181001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货运代理（代办）经营备案遗失补办</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167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1190182000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1190182001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货运代理（代办）经营备案注销</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168</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1190183000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1190183001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道路普通货物运输企业变更经营地址</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169</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1190184000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1190184001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道路普通货物运输企业变更名称、法人代表</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170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1190185000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1190185001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道路普通货物运输企业减少经营范围</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171</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1190186000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1190186001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道路普通货物运输企业终止经营</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172</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1190187001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道路普通货物运输企业许可证到期换证</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173</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1190188000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1190188001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道路普通货物运输企业许可证遗失补发、破损换证</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174</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1190189000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1190189001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道路普通货物运输车辆办理《道路运输证》年度审验</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175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1190190000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1190190001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道路运输站（场）经营许可（货运站经营许可变更）</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176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1190191001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道路运输站（场）经营许可（货运站场《道路运输经营许可证》到期换证）</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177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1190192000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1190192001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道路运输站（场）经营许可（货运站终止经营）</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178</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1190193000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1190193001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道路运输站（场）经营许可（货运站场《道路运输经营许可证》遗失补办、破损换证）</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179</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1190194000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1190194001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机动车驾驶员培训经营许可配套业务办理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机动车驾驶员培训机构变更相关事项</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180</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1190194002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机动车驾驶员培训机构许可证遗失补办</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181</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1190194003</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机动车驾驶员培训机构终止经营注销</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182</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1190203000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1190203001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道路货物运输配套业务办理（区级）</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道路普通货物运输车辆《道路运输证》新增</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183</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1190203002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道路普通货物运输车辆《道路运输证》变更名称、地址</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184</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1190203003</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道路普通货物运输车辆《道路运输证》变更经营范围</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185</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1190203004</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道路普通货物运输车辆《道路运输证》报停</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186</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1190203005</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道路普通货物运输车辆《道路运输证》复业</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187</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1190203006</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道路普通货物运输车辆《道路运输证》迁出</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188</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1190203007</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道路普通货物运输车辆《道路运输证》迁入和过户</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189</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1190203008</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道路普通货物运输车辆《道路运输证》注销</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190</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1190203009</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道路普通货物运输车辆《道路运输证》遗失补办、破损换证</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191</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1100177000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1100177001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中小客车指标调控业务办理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单位增量指标申请</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192</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1100177007</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更新指标申请</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193</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1100177008</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增量指标申请信息变更</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194</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1100177009</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指标证明文件打印</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195</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1100177010</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增量指标申请资格复核</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196</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1100177011</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个人增量指标申请</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海珠区住建局（区交通局、区人防办（区民防办））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197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1100392000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1100392001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生产经营单位生产安全事故应急预案备案</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海珠区应急管理局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198</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1100478000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1100478001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企业安全守法证明开具</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海珠区应急管理局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199</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1100186000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1100186001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《广州市犬只狂犬病免疫证》开具</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海珠区农业农村局</w:t>
            </w:r>
            <w:r>
              <w:rPr>
                <w:rFonts w:hint="eastAsia" w:ascii="宋体" w:hAnsi="宋体" w:eastAsia="宋体" w:cs="宋体"/>
                <w:i w:val="0"/>
                <w:color w:val="000000"/>
                <w:kern w:val="0"/>
                <w:sz w:val="20"/>
                <w:szCs w:val="20"/>
                <w:lang w:val="en-US" w:eastAsia="zh-CN" w:bidi="ar-SA"/>
              </w:rPr>
              <w:br w:type="textWrapping"/>
            </w:r>
            <w:r>
              <w:rPr>
                <w:rFonts w:hint="eastAsia" w:ascii="宋体" w:hAnsi="宋体" w:eastAsia="宋体" w:cs="宋体"/>
                <w:i w:val="0"/>
                <w:color w:val="000000"/>
                <w:kern w:val="0"/>
                <w:sz w:val="20"/>
                <w:szCs w:val="20"/>
                <w:lang w:val="en-US" w:eastAsia="zh-CN" w:bidi="ar-SA"/>
              </w:rPr>
              <w:t>区委农办（区扶贫办）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1100191000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1100191001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屠宰环节病害猪无害化处理财政补贴发放</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海珠区农业农村局</w:t>
            </w:r>
            <w:r>
              <w:rPr>
                <w:rFonts w:hint="eastAsia" w:ascii="宋体" w:hAnsi="宋体" w:eastAsia="宋体" w:cs="宋体"/>
                <w:i w:val="0"/>
                <w:color w:val="000000"/>
                <w:kern w:val="0"/>
                <w:sz w:val="20"/>
                <w:szCs w:val="20"/>
                <w:lang w:val="en-US" w:eastAsia="zh-CN" w:bidi="ar-SA"/>
              </w:rPr>
              <w:br w:type="textWrapping"/>
            </w:r>
            <w:r>
              <w:rPr>
                <w:rFonts w:hint="eastAsia" w:ascii="宋体" w:hAnsi="宋体" w:eastAsia="宋体" w:cs="宋体"/>
                <w:i w:val="0"/>
                <w:color w:val="000000"/>
                <w:kern w:val="0"/>
                <w:sz w:val="20"/>
                <w:szCs w:val="20"/>
                <w:lang w:val="en-US" w:eastAsia="zh-CN" w:bidi="ar-SA"/>
              </w:rPr>
              <w:t>区委农办（区扶贫办）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201</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1190198000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1190198001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《广东省农村集体经济组织证明书》办理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《广东省农村集体经济组织证明书》新领</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海珠区农业农村局</w:t>
            </w:r>
            <w:r>
              <w:rPr>
                <w:rFonts w:hint="eastAsia" w:ascii="宋体" w:hAnsi="宋体" w:eastAsia="宋体" w:cs="宋体"/>
                <w:i w:val="0"/>
                <w:color w:val="000000"/>
                <w:kern w:val="0"/>
                <w:sz w:val="20"/>
                <w:szCs w:val="20"/>
                <w:lang w:val="en-US" w:eastAsia="zh-CN" w:bidi="ar-SA"/>
              </w:rPr>
              <w:br w:type="textWrapping"/>
            </w:r>
            <w:r>
              <w:rPr>
                <w:rFonts w:hint="eastAsia" w:ascii="宋体" w:hAnsi="宋体" w:eastAsia="宋体" w:cs="宋体"/>
                <w:i w:val="0"/>
                <w:color w:val="000000"/>
                <w:kern w:val="0"/>
                <w:sz w:val="20"/>
                <w:szCs w:val="20"/>
                <w:lang w:val="en-US" w:eastAsia="zh-CN" w:bidi="ar-SA"/>
              </w:rPr>
              <w:t>区委农办（区扶贫办）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202</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1190198002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《广东省农村集体经济组织证明书》法人变更或换证</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海珠区农业农村局</w:t>
            </w:r>
            <w:r>
              <w:rPr>
                <w:rFonts w:hint="eastAsia" w:ascii="宋体" w:hAnsi="宋体" w:eastAsia="宋体" w:cs="宋体"/>
                <w:i w:val="0"/>
                <w:color w:val="000000"/>
                <w:kern w:val="0"/>
                <w:sz w:val="20"/>
                <w:szCs w:val="20"/>
                <w:lang w:val="en-US" w:eastAsia="zh-CN" w:bidi="ar-SA"/>
              </w:rPr>
              <w:br w:type="textWrapping"/>
            </w:r>
            <w:r>
              <w:rPr>
                <w:rFonts w:hint="eastAsia" w:ascii="宋体" w:hAnsi="宋体" w:eastAsia="宋体" w:cs="宋体"/>
                <w:i w:val="0"/>
                <w:color w:val="000000"/>
                <w:kern w:val="0"/>
                <w:sz w:val="20"/>
                <w:szCs w:val="20"/>
                <w:lang w:val="en-US" w:eastAsia="zh-CN" w:bidi="ar-SA"/>
              </w:rPr>
              <w:t>区委农办（区扶贫办）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203</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1190156000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1190156001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广东省贫困归侨扶贫救助补助资金发放</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区委统战部〔区委台办（区台湾事务局）、区民宗局、区侨务局〕</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该事项办理届时以公告为准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204</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1100233000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1100233001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对村民委员会档案工作目标管理的评审</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海珠区委办公室</w:t>
            </w:r>
            <w:r>
              <w:rPr>
                <w:rFonts w:hint="eastAsia" w:ascii="宋体" w:hAnsi="宋体" w:eastAsia="宋体" w:cs="宋体"/>
                <w:i w:val="0"/>
                <w:color w:val="000000"/>
                <w:kern w:val="0"/>
                <w:sz w:val="20"/>
                <w:szCs w:val="20"/>
                <w:lang w:val="en-US" w:eastAsia="zh-CN" w:bidi="ar-SA"/>
              </w:rPr>
              <w:br w:type="textWrapping"/>
            </w:r>
            <w:r>
              <w:rPr>
                <w:rFonts w:hint="eastAsia" w:ascii="宋体" w:hAnsi="宋体" w:eastAsia="宋体" w:cs="宋体"/>
                <w:i w:val="0"/>
                <w:color w:val="000000"/>
                <w:kern w:val="0"/>
                <w:sz w:val="20"/>
                <w:szCs w:val="20"/>
                <w:lang w:val="en-US" w:eastAsia="zh-CN" w:bidi="ar-SA"/>
              </w:rPr>
              <w:t>海珠区委改革办</w:t>
            </w:r>
            <w:r>
              <w:rPr>
                <w:rFonts w:hint="eastAsia" w:ascii="宋体" w:hAnsi="宋体" w:eastAsia="宋体" w:cs="宋体"/>
                <w:i w:val="0"/>
                <w:color w:val="000000"/>
                <w:kern w:val="0"/>
                <w:sz w:val="20"/>
                <w:szCs w:val="20"/>
                <w:lang w:val="en-US" w:eastAsia="zh-CN" w:bidi="ar-SA"/>
              </w:rPr>
              <w:br w:type="textWrapping"/>
            </w:r>
            <w:r>
              <w:rPr>
                <w:rFonts w:hint="eastAsia" w:ascii="宋体" w:hAnsi="宋体" w:eastAsia="宋体" w:cs="宋体"/>
                <w:i w:val="0"/>
                <w:color w:val="000000"/>
                <w:kern w:val="0"/>
                <w:sz w:val="20"/>
                <w:szCs w:val="20"/>
                <w:lang w:val="en-US" w:eastAsia="zh-CN" w:bidi="ar-SA"/>
              </w:rPr>
              <w:t>海珠区委国安办〔区委保密办（区保密局）、区委机要局（区密码管理局）、区档案局〕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205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1100240000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1100240001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事业单位法人证书补领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海珠区委编办</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206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1110004000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1110004001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广播电视频率使用许可证（乙类）初审</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海珠区文广旅体局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207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1110005000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1110005001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营业性涉外、涉台或涉港澳演出备案</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海珠区文广旅体局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208</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1190141000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1190141001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计划生育家庭特别扶助</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海珠区卫生健康局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209</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1190144000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1190144001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《独生子女父母光荣证》申办</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海珠区卫生健康局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210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1190145000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1190145001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流动人口婚育证明办理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海珠区卫生健康局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211</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1190147000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1190147001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《广东省计划生育服务证》办理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海珠区卫生健康局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212</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1190149000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1190149001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广州市计划生育证明办理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海珠区卫生健康局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213</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1100211000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1100211001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工商注册登记档案查询</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海珠区市场监管局（区知识产权局）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214</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1100474000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1100474001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经营范围自助录入</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海珠区市场监管局（区知识产权局）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215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1100477000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1100477001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举报质量技术监督违法行为奖励</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海珠区市场监管局（区知识产权局）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216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1100237000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1100237001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气象证明出具</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海珠区气象局</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217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1190210000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1190210001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广东省按比例安排残疾人就业年审申报</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218</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1100481000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1100481001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残疾人教育扶助</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残疾学生生活补助</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219</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1100481002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残疾人教育奖励</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220</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1190204000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1190204001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残疾人教育扶助</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残疾儿童生活补助</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221</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1190204002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贫困残疾人家庭子女生活补助</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222</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1190151001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残疾人证管理</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《中华人民共和国残疾人证》新办证申请</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223</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1190151002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《中华人民共和国残疾人证》补办</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224</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1190151003</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《中华人民共和国残疾人证》类别/等级变更</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225</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1190151004</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《中华人民共和国残疾人证》迁出</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226</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1190151005</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《中华人民共和国残疾人证》换领</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227</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1190151006</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《中华人民共和国残疾人证》注销</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228</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1190153000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1190153001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残疾人康复服务</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精神障碍患者专科门诊</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229</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1190153002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精神障碍患者住院治疗</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230</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1190153003</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残疾矫治手术</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231</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1190153004</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0-14岁听力语言残疾儿童康复训练（机构康复）</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232</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1190153005</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0-14岁脑瘫儿童康复训练（机构康复）</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233</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1190153006</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0-14岁智力残疾儿童康复训练（机构康复）</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234</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1190153007</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0-14岁孤独症儿童康复训练（机构康复）</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235</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1190153008</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肢体残疾人康复训练（机构康复）</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236</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1190153009</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残疾人基本型辅助器具适配资助</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237</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1190153010</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0-14岁听力语言残疾儿童康复训练（医疗康复）</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238</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1190153011</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0-14岁脑瘫儿童康复训练（医疗康复）</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239</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1190153012</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0-17岁智力残疾儿童康复训练（医疗康复）</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240</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1190153013</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0-17岁孤独症儿童康复训练（医疗康复）</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241</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1190153014</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肢体残疾人康复训练（医疗康复）</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242</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1190153015</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残疾障碍者首次办理《残疾人证》残疾程度评定和必要检查费用资助</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243</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1190153016</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0-14岁低视力儿童康复训练（医疗康复）</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244</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1190153017</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医疗机构开展居家康复服务</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245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1190154000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1190154001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残疾人参加城镇职工基本社会养老保险资助申请</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246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1190201000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i w:val="0"/>
                <w:color w:val="000000"/>
                <w:sz w:val="20"/>
                <w:szCs w:val="20"/>
              </w:rPr>
            </w:pPr>
            <w:r>
              <w:rPr>
                <w:rFonts w:ascii="Times New Roman" w:hAnsi="Times New Roman" w:eastAsia="宋体" w:cs="Times New Roman"/>
                <w:i w:val="0"/>
                <w:color w:val="000000"/>
                <w:kern w:val="0"/>
                <w:sz w:val="20"/>
                <w:szCs w:val="20"/>
                <w:lang w:val="en-US" w:eastAsia="zh-CN" w:bidi="ar-SA"/>
              </w:rPr>
              <w:t>1190201001</w:t>
            </w:r>
          </w:p>
        </w:tc>
        <w:tc>
          <w:tcPr>
            <w:tcW w:w="2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残疾人就业保障金的缓缴、减缴、免缴</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海珠区残联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rPr>
            </w:pPr>
          </w:p>
        </w:tc>
      </w:tr>
    </w:tbl>
    <w:p>
      <w:pPr>
        <w:widowControl w:val="0"/>
        <w:wordWrap/>
        <w:adjustRightInd/>
        <w:snapToGrid/>
        <w:spacing w:before="0" w:after="0" w:line="590" w:lineRule="exact"/>
        <w:ind w:left="0" w:leftChars="0" w:right="0" w:firstLine="0" w:firstLineChars="0"/>
        <w:jc w:val="both"/>
        <w:textAlignment w:val="auto"/>
        <w:outlineLvl w:val="9"/>
        <w:rPr>
          <w:rFonts w:hint="eastAsia" w:ascii="仿宋_GB2312" w:hAnsi="仿宋_GB2312" w:eastAsia="仿宋_GB2312" w:cs="仿宋_GB2312"/>
          <w:color w:val="000000"/>
          <w:kern w:val="0"/>
          <w:sz w:val="32"/>
          <w:szCs w:val="32"/>
          <w:u w:val="none"/>
          <w:shd w:val="clear" w:color="auto" w:fill="FFFFFF"/>
          <w:lang w:val="en-US" w:eastAsia="zh-CN"/>
        </w:rPr>
      </w:pPr>
    </w:p>
    <w:p>
      <w:pPr>
        <w:widowControl w:val="0"/>
        <w:wordWrap/>
        <w:adjustRightInd/>
        <w:snapToGrid/>
        <w:spacing w:before="0" w:after="0" w:line="590" w:lineRule="exact"/>
        <w:ind w:left="0" w:leftChars="0" w:right="0" w:firstLine="0" w:firstLineChars="0"/>
        <w:jc w:val="both"/>
        <w:textAlignment w:val="auto"/>
        <w:outlineLvl w:val="9"/>
        <w:rPr>
          <w:rFonts w:hint="eastAsia" w:ascii="仿宋_GB2312" w:hAnsi="仿宋_GB2312" w:eastAsia="仿宋_GB2312" w:cs="仿宋_GB2312"/>
          <w:color w:val="000000"/>
          <w:kern w:val="0"/>
          <w:sz w:val="32"/>
          <w:szCs w:val="32"/>
          <w:u w:val="none"/>
          <w:shd w:val="clear" w:color="auto" w:fill="FFFFFF"/>
          <w:lang w:val="en-US" w:eastAsia="zh-CN"/>
        </w:rPr>
      </w:pPr>
    </w:p>
    <w:p>
      <w:pPr>
        <w:widowControl w:val="0"/>
        <w:wordWrap/>
        <w:adjustRightInd/>
        <w:snapToGrid/>
        <w:spacing w:before="0" w:after="0" w:line="590" w:lineRule="exact"/>
        <w:ind w:left="0" w:leftChars="0" w:right="0" w:firstLine="0" w:firstLineChars="0"/>
        <w:jc w:val="both"/>
        <w:textAlignment w:val="auto"/>
        <w:outlineLvl w:val="9"/>
        <w:rPr>
          <w:rFonts w:hint="eastAsia" w:ascii="Times New Roman" w:hAnsi="Times New Roman" w:eastAsia="仿宋_GB2312" w:cs="仿宋_GB2312"/>
          <w:sz w:val="32"/>
          <w:szCs w:val="32"/>
          <w:lang w:val="en-US" w:eastAsia="zh-CN"/>
        </w:rPr>
      </w:pPr>
    </w:p>
    <w:p>
      <w:pPr>
        <w:widowControl w:val="0"/>
        <w:wordWrap/>
        <w:adjustRightInd/>
        <w:snapToGrid/>
        <w:spacing w:before="0" w:after="0" w:line="590" w:lineRule="exact"/>
        <w:ind w:left="0" w:leftChars="0" w:right="0" w:firstLine="0" w:firstLineChars="0"/>
        <w:jc w:val="both"/>
        <w:textAlignment w:val="auto"/>
        <w:outlineLvl w:val="9"/>
        <w:rPr>
          <w:rFonts w:hint="eastAsia" w:ascii="Times New Roman" w:hAnsi="Times New Roman" w:eastAsia="仿宋_GB2312" w:cs="仿宋_GB2312"/>
          <w:sz w:val="32"/>
          <w:szCs w:val="32"/>
          <w:lang w:val="en-US" w:eastAsia="zh-CN"/>
        </w:rPr>
      </w:pPr>
    </w:p>
    <w:p>
      <w:pPr>
        <w:widowControl w:val="0"/>
        <w:wordWrap/>
        <w:adjustRightInd/>
        <w:snapToGrid/>
        <w:spacing w:before="0" w:after="0" w:line="590" w:lineRule="exact"/>
        <w:ind w:left="0" w:leftChars="0" w:right="0"/>
        <w:jc w:val="both"/>
        <w:textAlignment w:val="auto"/>
        <w:outlineLvl w:val="9"/>
        <w:rPr>
          <w:rFonts w:hint="eastAsia" w:ascii="仿宋_GB2312" w:hAnsi="仿宋_GB2312" w:eastAsia="仿宋_GB2312" w:cs="仿宋_GB2312"/>
          <w:b w:val="0"/>
          <w:bCs w:val="0"/>
          <w:sz w:val="32"/>
          <w:szCs w:val="32"/>
        </w:rPr>
      </w:pPr>
      <w:bookmarkStart w:id="0" w:name="_GoBack"/>
      <w:bookmarkEnd w:id="0"/>
    </w:p>
    <w:sectPr>
      <w:footerReference r:id="rId3" w:type="default"/>
      <w:footerReference r:id="rId4" w:type="even"/>
      <w:pgSz w:w="11906" w:h="16838"/>
      <w:pgMar w:top="1984" w:right="1474" w:bottom="1871" w:left="1587" w:header="851" w:footer="1417"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w:pict>
        <v:shape id="文本框 3" o:spid="_x0000_s2049" o:spt="202" type="#_x0000_t202" style="position:absolute;left:0pt;margin-top:-12pt;height:23.05pt;width:86.3pt;mso-position-horizontal:outside;mso-position-horizontal-relative:margin;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widowControl w:val="0"/>
                  <w:wordWrap/>
                  <w:adjustRightInd/>
                  <w:snapToGrid w:val="0"/>
                  <w:spacing w:before="0" w:after="0" w:line="240" w:lineRule="auto"/>
                  <w:ind w:left="0" w:leftChars="0" w:right="420" w:rightChars="200" w:firstLine="0" w:firstLineChars="0"/>
                  <w:jc w:val="right"/>
                  <w:textAlignment w:val="auto"/>
                  <w:outlineLvl w:val="9"/>
                  <w:rPr>
                    <w:rFonts w:hint="eastAsia" w:ascii="宋体" w:hAnsi="宋体" w:eastAsia="宋体" w:cs="宋体"/>
                    <w:sz w:val="28"/>
                    <w:szCs w:val="28"/>
                    <w:lang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w:pict>
        <v:shape id="文本框 4" o:spid="_x0000_s2050" o:spt="202" type="#_x0000_t202" style="position:absolute;left:0pt;margin-top:-11pt;height:22pt;width:97.6pt;mso-position-horizontal:outside;mso-position-horizontal-relative:margin;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widowControl w:val="0"/>
                  <w:wordWrap/>
                  <w:adjustRightInd/>
                  <w:snapToGrid w:val="0"/>
                  <w:spacing w:before="0" w:after="0" w:line="240" w:lineRule="auto"/>
                  <w:ind w:left="420" w:leftChars="200" w:right="0" w:firstLine="0" w:firstLineChars="0"/>
                  <w:jc w:val="left"/>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HorizontalSpacing w:val="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DAC2A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6">
    <w:name w:val="Strong"/>
    <w:basedOn w:val="5"/>
    <w:qFormat/>
    <w:uiPriority w:val="0"/>
    <w:rPr>
      <w:b/>
      <w:bCs/>
    </w:rPr>
  </w:style>
  <w:style w:type="character" w:styleId="7">
    <w:name w:val="FollowedHyperlink"/>
    <w:basedOn w:val="5"/>
    <w:qFormat/>
    <w:uiPriority w:val="0"/>
    <w:rPr>
      <w:color w:val="0000FF"/>
      <w:u w:val="single"/>
    </w:rPr>
  </w:style>
  <w:style w:type="character" w:styleId="8">
    <w:name w:val="Hyperlink"/>
    <w:basedOn w:val="5"/>
    <w:qFormat/>
    <w:uiPriority w:val="0"/>
    <w:rPr>
      <w:color w:val="0000FF"/>
      <w:u w:val="single"/>
    </w:rPr>
  </w:style>
  <w:style w:type="paragraph" w:customStyle="1" w:styleId="9">
    <w:name w:val="p0"/>
    <w:basedOn w:val="1"/>
    <w:qFormat/>
    <w:uiPriority w:val="0"/>
    <w:pPr>
      <w:widowControl/>
    </w:pPr>
    <w:rPr>
      <w:rFonts w:ascii="Times New Roman" w:hAnsi="Times New Roman" w:eastAsia="宋体" w:cs="Times New Roman"/>
      <w:kern w:val="0"/>
      <w:szCs w:val="21"/>
    </w:rPr>
  </w:style>
  <w:style w:type="paragraph" w:customStyle="1" w:styleId="10">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1">
    <w:name w:val="页脚 New"/>
    <w:basedOn w:val="10"/>
    <w:qFormat/>
    <w:uiPriority w:val="0"/>
    <w:pPr>
      <w:tabs>
        <w:tab w:val="center" w:pos="4153"/>
        <w:tab w:val="right" w:pos="8306"/>
      </w:tabs>
      <w:snapToGrid w:val="0"/>
      <w:jc w:val="left"/>
    </w:pPr>
    <w:rPr>
      <w:sz w:val="18"/>
    </w:rPr>
  </w:style>
  <w:style w:type="character" w:customStyle="1" w:styleId="12">
    <w:name w:val="页眉或页脚"/>
    <w:qFormat/>
    <w:uiPriority w:val="0"/>
    <w:rPr>
      <w:rFonts w:ascii="MingLiU" w:hAnsi="MingLiU" w:eastAsia="MingLiU" w:cs="MingLiU"/>
      <w:color w:val="000000"/>
      <w:spacing w:val="70"/>
      <w:w w:val="100"/>
      <w:position w:val="0"/>
      <w:sz w:val="24"/>
      <w:szCs w:val="24"/>
      <w:u w:val="none"/>
      <w:lang w:val="zh-TW" w:eastAsia="zh-TW" w:bidi="zh-TW"/>
    </w:rPr>
  </w:style>
  <w:style w:type="character" w:customStyle="1" w:styleId="13">
    <w:name w:val="font1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50</Words>
  <Characters>289</Characters>
  <Lines>2</Lines>
  <Paragraphs>1</Paragraphs>
  <TotalTime>47</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2019-04-29T03:23:00Z</dcterms:created>
  <dc:creator>DQ</dc:creator>
  <cp:lastModifiedBy>Administrator</cp:lastModifiedBy>
  <cp:lastPrinted>2019-04-29T09:14:00Z</cp:lastPrinted>
  <dcterms:modified xsi:type="dcterms:W3CDTF">2019-05-05T02:47:20Z</dcterms:modified>
  <dc:title>海政务办报〔2018〕40号              签发人：黄  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