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1215"/>
        <w:gridCol w:w="1185"/>
        <w:gridCol w:w="4725"/>
        <w:gridCol w:w="3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8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98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GB7100-2015《食品安全国家标准 饼干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2、GB 2760-2014《 食品安全国家标准 食品添加剂使用标准》               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酸价(以脂肪计)(KOH)、过氧化值(以脂肪计)、二氧化硫残留量、山梨酸、苯甲酸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DB41/T 515-007《调味面制食品》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2、GB 2760-2014《食品安全国家标准 食品添加剂使用标准》 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山梨酸、苯甲酸、安赛蜜、甜蜜素(以环己基氨基磺酸计)、脱氢乙酸、菌落总数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GB17401-2014《食品安全国家标准 膨化食品》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2、GB 2760-2014《食品安全国家标准 食品添加剂使用标准》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二氧化硫残留量、酸价(以脂肪计)(KOH)、过氧化值(以脂肪计)、山梨酸、苯甲酸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糖果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食品安全国家标准 食品添加剂使用标准》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柠檬黄、日落黄、胭脂红、苋菜红、糖精钠(以糖精计)、甜蜜素(以环己基氨基磺酸计)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茶叶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茶叶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</w:rPr>
              <w:t>绿茶、红茶、乌龙茶、黄茶、白茶、黑茶、花茶、袋泡茶、紧压茶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1、GB/T 24690-2009《袋泡茶》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3、GB 2763-2016《食品安全国家标准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4、GB 7718-2011《食品安全国家标准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预包装食品标签通则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》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以Pb计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、六六六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HCH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食品安全国家标准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预包装食品标签通则》</w:t>
            </w:r>
          </w:p>
        </w:tc>
        <w:tc>
          <w:tcPr>
            <w:tcW w:w="39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</w:t>
            </w:r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629D1A"/>
    <w:multiLevelType w:val="singleLevel"/>
    <w:tmpl w:val="B7629D1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5C38E76"/>
    <w:multiLevelType w:val="singleLevel"/>
    <w:tmpl w:val="E5C38E7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312D206"/>
    <w:multiLevelType w:val="singleLevel"/>
    <w:tmpl w:val="4312D2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4030150"/>
    <w:rsid w:val="16027150"/>
    <w:rsid w:val="16896315"/>
    <w:rsid w:val="179D5689"/>
    <w:rsid w:val="183015E8"/>
    <w:rsid w:val="19696CF7"/>
    <w:rsid w:val="1C8B1BF3"/>
    <w:rsid w:val="1D051C5B"/>
    <w:rsid w:val="1D5029AA"/>
    <w:rsid w:val="1D682F98"/>
    <w:rsid w:val="1DF5369D"/>
    <w:rsid w:val="1FFB52D3"/>
    <w:rsid w:val="21AE004B"/>
    <w:rsid w:val="23EB4A74"/>
    <w:rsid w:val="24394317"/>
    <w:rsid w:val="24AB7392"/>
    <w:rsid w:val="25264285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9847EEC"/>
    <w:rsid w:val="5A521C48"/>
    <w:rsid w:val="5ACF60FC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4</TotalTime>
  <ScaleCrop>false</ScaleCrop>
  <LinksUpToDate>false</LinksUpToDate>
  <CharactersWithSpaces>14922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2018-05-31T08:38:49Z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