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201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</w:rPr>
        <w:t>季度各类食品监督抽检结果汇总表</w:t>
      </w:r>
    </w:p>
    <w:p>
      <w:pPr>
        <w:ind w:firstLine="640" w:firstLineChars="200"/>
        <w:rPr>
          <w:rFonts w:ascii="仿宋_GB2312" w:hAnsi="??" w:eastAsia="仿宋_GB2312" w:cs="Arial"/>
          <w:kern w:val="0"/>
          <w:sz w:val="32"/>
          <w:szCs w:val="32"/>
        </w:rPr>
      </w:pPr>
    </w:p>
    <w:tbl>
      <w:tblPr>
        <w:tblStyle w:val="3"/>
        <w:tblW w:w="874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220"/>
        <w:gridCol w:w="1120"/>
        <w:gridCol w:w="1189"/>
        <w:gridCol w:w="1358"/>
        <w:gridCol w:w="11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样品抽检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数量/批次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合格样品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数量/批次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不合格样品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数量/批次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样品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粮食加工品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食用油、油脂及其制品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94.6%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肉制品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98.1%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饮料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方便食品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饼干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薯类和膨化食品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糖果制品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茶叶及相关制品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蔬菜制品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水果制品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蛋制品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水产制品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糕点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蜂产品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餐饮食品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547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475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86.8%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食用农产品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836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752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4A62"/>
    <w:rsid w:val="01E20889"/>
    <w:rsid w:val="0C0048B2"/>
    <w:rsid w:val="213D0828"/>
    <w:rsid w:val="22D56765"/>
    <w:rsid w:val="25952DA5"/>
    <w:rsid w:val="25BB2737"/>
    <w:rsid w:val="285F7C2E"/>
    <w:rsid w:val="30274C9D"/>
    <w:rsid w:val="31BB1FE0"/>
    <w:rsid w:val="32306168"/>
    <w:rsid w:val="34627868"/>
    <w:rsid w:val="34772616"/>
    <w:rsid w:val="36E25A06"/>
    <w:rsid w:val="3BD56F13"/>
    <w:rsid w:val="3D7077D4"/>
    <w:rsid w:val="3F523C0E"/>
    <w:rsid w:val="412A4A62"/>
    <w:rsid w:val="42C563AD"/>
    <w:rsid w:val="4AD90E43"/>
    <w:rsid w:val="4C3433C7"/>
    <w:rsid w:val="53355E9F"/>
    <w:rsid w:val="563940D8"/>
    <w:rsid w:val="58190881"/>
    <w:rsid w:val="617E4124"/>
    <w:rsid w:val="6D535020"/>
    <w:rsid w:val="6FB2558E"/>
    <w:rsid w:val="785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dcterms:modified xsi:type="dcterms:W3CDTF">2018-06-29T00:53:44Z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