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5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868"/>
        <w:gridCol w:w="867"/>
        <w:gridCol w:w="868"/>
        <w:gridCol w:w="867"/>
        <w:gridCol w:w="4422"/>
        <w:gridCol w:w="52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其他餐饮食品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半固体复合调味料(餐饮环节)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麻辣烫、羊杂碎、酿皮等汤汁(餐饮环节)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整顿办函[2011] 1号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D44936"/>
    <w:rsid w:val="00232B25"/>
    <w:rsid w:val="00411563"/>
    <w:rsid w:val="00722C50"/>
    <w:rsid w:val="00D873AE"/>
    <w:rsid w:val="00E30CF1"/>
    <w:rsid w:val="00EA4150"/>
    <w:rsid w:val="00EA6284"/>
    <w:rsid w:val="00EF0A01"/>
    <w:rsid w:val="00F443BA"/>
    <w:rsid w:val="0A4556E0"/>
    <w:rsid w:val="36D44936"/>
    <w:rsid w:val="40D82FF5"/>
    <w:rsid w:val="505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2018-12-07T07:35:00Z</dcterms:created>
  <dc:creator>YWB</dc:creator>
  <cp:lastModifiedBy>Administrator</cp:lastModifiedBy>
  <dcterms:modified xsi:type="dcterms:W3CDTF">2019-01-09T06:30:19Z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